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2l6-calculator-assistant-narrative"/>
    <w:p>
      <w:pPr>
        <w:pStyle w:val="Heading1"/>
      </w:pPr>
      <w:r>
        <w:t xml:space="preserve">M12L6 Calculator Assistant Narrative</w:t>
      </w:r>
    </w:p>
    <w:p>
      <w:pPr>
        <w:pStyle w:val="FirstParagraph"/>
      </w:pPr>
      <w:r>
        <w:t xml:space="preserve">Let’s complete our multi-agent system by creating an assistant that can use the calculator tool.</w:t>
      </w:r>
    </w:p>
    <w:p>
      <w:pPr>
        <w:pStyle w:val="BodyText"/>
      </w:pPr>
      <w:r>
        <w:t xml:space="preserve">This brings everything together - the assistant handles general conversation while delegating calculations to our specialized calculator agent.</w:t>
      </w:r>
    </w:p>
    <w:p>
      <w:pPr>
        <w:pStyle w:val="BodyText"/>
      </w:pPr>
      <w:r>
        <w:t xml:space="preserve">Notice how the assistant is a general-purpose agent, not a math assistant - the calculator is just one tool among potentially many.</w:t>
      </w:r>
    </w:p>
    <w:p>
      <w:pPr>
        <w:pStyle w:val="BodyText"/>
      </w:pPr>
      <w:r>
        <w:t xml:space="preserve">When you run this interactive example, you’ll experience firsthand how multi-agent systems provide both breadth and depth of capabilities.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2025-08-05T16:25:37Z</dcterms:created>
  <dcterms:modified xsi:type="dcterms:W3CDTF">2025-08-05T16:25:37Z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