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2"/>
          <w:szCs w:val="22"/>
        </w:rPr>
        <w:t xml:space="preserve">IN THE SUPERIOR COURT OF PARANORMAL DISPUTES</w:t>
      </w:r>
    </w:p>
    <w:p>
      <w:pPr>
        <w:jc w:val="center"/>
      </w:pPr>
      <w:r>
        <w:rPr>
          <w:rFonts w:ascii="Arial" w:cs="Arial" w:eastAsia="Arial" w:hAnsi="Arial"/>
          <w:b/>
          <w:bCs/>
          <w:sz w:val="22"/>
          <w:szCs w:val="22"/>
        </w:rPr>
        <w:t xml:space="preserve">STATE OF UNEXPLAINED PHENOMENA</w:t>
      </w:r>
    </w:p>
    <w:p>
      <w:pPr>
        <w:jc w:val="center"/>
      </w:pPr>
      <w:r>
        <w:rPr>
          <w:rFonts w:ascii="Arial" w:cs="Arial" w:eastAsia="Arial" w:hAnsi="Arial"/>
          <w:i/>
          <w:iCs/>
          <w:sz w:val="20"/>
          <w:szCs w:val="20"/>
        </w:rPr>
        <w:t xml:space="preserve">Case No. 2026-GHOST-4471</w:t>
      </w:r>
    </w:p>
    <w:p>
      <w:pPr>
        <w:spacing w:after="100"/>
      </w:pPr>
    </w:p>
    <w:p>
      <w:pPr>
        <w:jc w:val="center"/>
      </w:pPr>
      <w:r>
        <w:rPr>
          <w:rFonts w:ascii="Arial" w:cs="Arial" w:eastAsia="Arial" w:hAnsi="Arial"/>
          <w:b/>
          <w:bCs/>
          <w:sz w:val="28"/>
          <w:szCs w:val="28"/>
        </w:rPr>
        <w:t xml:space="preserve">LIABILITY WAIVER, INDEMNIFICATION AGREEMENT,</w:t>
      </w:r>
    </w:p>
    <w:p>
      <w:pPr>
        <w:jc w:val="center"/>
      </w:pPr>
      <w:r>
        <w:rPr>
          <w:rFonts w:ascii="Arial" w:cs="Arial" w:eastAsia="Arial" w:hAnsi="Arial"/>
          <w:b/>
          <w:bCs/>
          <w:sz w:val="28"/>
          <w:szCs w:val="28"/>
        </w:rPr>
        <w:t xml:space="preserve">AND ASSUMPTION OF RISK</w:t>
      </w:r>
    </w:p>
    <w:p>
      <w:pPr>
        <w:spacing w:after="100"/>
      </w:pPr>
    </w:p>
    <w:p>
      <w:pPr>
        <w:jc w:val="center"/>
      </w:pPr>
      <w:r>
        <w:rPr>
          <w:rFonts w:ascii="Arial" w:cs="Arial" w:eastAsia="Arial" w:hAnsi="Arial"/>
          <w:i/>
          <w:iCs/>
          <w:sz w:val="20"/>
          <w:szCs w:val="20"/>
        </w:rPr>
        <w:t xml:space="preserve">GODDAMN UNDEAD NONLIVIN GUNNERS INC. ("GUNNERS")  vs.  THE UNDERSIGNED CLIENT ("Client")</w:t>
      </w:r>
    </w:p>
    <w:p>
      <w:pPr>
        <w:pBdr>
          <w:bottom w:val="single" w:color="888888" w:sz="6" w:space="1"/>
        </w:pBdr>
        <w:spacing w:after="160" w:before="160"/>
      </w:pPr>
    </w:p>
    <w:p>
      <w:pPr>
        <w:pStyle w:val="Heading1"/>
      </w:pPr>
      <w:r>
        <w:rPr>
          <w:rFonts w:ascii="Arial" w:cs="Arial" w:eastAsia="Arial" w:hAnsi="Arial"/>
          <w:b/>
          <w:bCs/>
          <w:sz w:val="26"/>
          <w:szCs w:val="26"/>
        </w:rPr>
        <w:t xml:space="preserve">RECITALS</w:t>
      </w:r>
    </w:p>
    <w:p>
      <w:pPr>
        <w:spacing w:after="80" w:before="80"/>
      </w:pPr>
      <w:r>
        <w:rPr>
          <w:rFonts w:ascii="Arial" w:cs="Arial" w:eastAsia="Arial" w:hAnsi="Arial"/>
          <w:sz w:val="22"/>
          <w:szCs w:val="22"/>
        </w:rPr>
        <w:t xml:space="preserve">WHEREAS the Client has reported disturbances including unexplained noises, apparitions, or "something definitely moving in the hallway";</w:t>
      </w:r>
    </w:p>
    <w:p>
      <w:pPr>
        <w:spacing w:after="80" w:before="80"/>
      </w:pPr>
      <w:r>
        <w:rPr>
          <w:rFonts w:ascii="Arial" w:cs="Arial" w:eastAsia="Arial" w:hAnsi="Arial"/>
          <w:sz w:val="22"/>
          <w:szCs w:val="22"/>
        </w:rPr>
        <w:t xml:space="preserve">WHEREAS GUNNERS offers ghost neutralization services under the Ghost Neutralization Act ("GNA");</w:t>
      </w:r>
    </w:p>
    <w:p>
      <w:pPr>
        <w:spacing w:after="80" w:before="80"/>
      </w:pPr>
      <w:r>
        <w:rPr>
          <w:rFonts w:ascii="Arial" w:cs="Arial" w:eastAsia="Arial" w:hAnsi="Arial"/>
          <w:sz w:val="22"/>
          <w:szCs w:val="22"/>
        </w:rPr>
        <w:t xml:space="preserve">WHEREAS said services may involve aggressive tactics, improvised decisions, and firearms;</w:t>
      </w:r>
    </w:p>
    <w:p>
      <w:pPr>
        <w:spacing w:after="80" w:before="80"/>
      </w:pPr>
      <w:r>
        <w:rPr>
          <w:rFonts w:ascii="Arial" w:cs="Arial" w:eastAsia="Arial" w:hAnsi="Arial"/>
          <w:sz w:val="22"/>
          <w:szCs w:val="22"/>
        </w:rPr>
        <w:t xml:space="preserve">NOW, THEREFORE, the parties agree as follows:</w:t>
      </w:r>
    </w:p>
    <w:p>
      <w:pPr>
        <w:pBdr>
          <w:bottom w:val="single" w:color="888888" w:sz="6" w:space="1"/>
        </w:pBdr>
        <w:spacing w:after="160" w:before="160"/>
      </w:pPr>
    </w:p>
    <w:p>
      <w:pPr>
        <w:pStyle w:val="Heading1"/>
      </w:pPr>
      <w:r>
        <w:rPr>
          <w:rFonts w:ascii="Arial" w:cs="Arial" w:eastAsia="Arial" w:hAnsi="Arial"/>
          <w:b/>
          <w:bCs/>
          <w:sz w:val="26"/>
          <w:szCs w:val="26"/>
        </w:rPr>
        <w:t xml:space="preserve">1. SCOPE OF WORK</w:t>
      </w:r>
    </w:p>
    <w:p>
      <w:pPr>
        <w:spacing w:after="80" w:before="80"/>
      </w:pPr>
      <w:r>
        <w:rPr>
          <w:rFonts w:ascii="Arial" w:cs="Arial" w:eastAsia="Arial" w:hAnsi="Arial"/>
          <w:sz w:val="22"/>
          <w:szCs w:val="22"/>
        </w:rPr>
        <w:t xml:space="preserve">GUNNERS will attempt to neutralize, suppress, or otherwise address any paranormal activity on the Client's premises. The Client understands that ghost neutralization is an imprecise science and that GUNNERS' methods may appear chaotic. Acceptable operational actions include:</w:t>
      </w:r>
    </w:p>
    <w:p>
      <w:pPr>
        <w:pStyle w:val="ListParagraph"/>
        <w:numPr>
          <w:ilvl w:val="0"/>
          <w:numId w:val="2"/>
        </w:numPr>
        <w:spacing w:after="60" w:before="60"/>
      </w:pPr>
      <w:r>
        <w:rPr>
          <w:rFonts w:ascii="Arial" w:cs="Arial" w:eastAsia="Arial" w:hAnsi="Arial"/>
          <w:sz w:val="22"/>
          <w:szCs w:val="22"/>
        </w:rPr>
        <w:t xml:space="preserve">Rapid discharge of firearms</w:t>
      </w:r>
    </w:p>
    <w:p>
      <w:pPr>
        <w:pStyle w:val="ListParagraph"/>
        <w:numPr>
          <w:ilvl w:val="0"/>
          <w:numId w:val="2"/>
        </w:numPr>
        <w:spacing w:after="60" w:before="60"/>
      </w:pPr>
      <w:r>
        <w:rPr>
          <w:rFonts w:ascii="Arial" w:cs="Arial" w:eastAsia="Arial" w:hAnsi="Arial"/>
          <w:sz w:val="22"/>
          <w:szCs w:val="22"/>
        </w:rPr>
        <w:t xml:space="preserve">Sudden movement, shouting, or other startling behavior</w:t>
      </w:r>
    </w:p>
    <w:p>
      <w:pPr>
        <w:pStyle w:val="ListParagraph"/>
        <w:numPr>
          <w:ilvl w:val="0"/>
          <w:numId w:val="2"/>
        </w:numPr>
        <w:spacing w:after="60" w:before="60"/>
      </w:pPr>
      <w:r>
        <w:rPr>
          <w:rFonts w:ascii="Arial" w:cs="Arial" w:eastAsia="Arial" w:hAnsi="Arial"/>
          <w:sz w:val="22"/>
          <w:szCs w:val="22"/>
        </w:rPr>
        <w:t xml:space="preserve">Engaging entities that may not be visibly present at the time of engagement</w:t>
      </w:r>
    </w:p>
    <w:p>
      <w:pPr>
        <w:pStyle w:val="ListParagraph"/>
        <w:numPr>
          <w:ilvl w:val="0"/>
          <w:numId w:val="2"/>
        </w:numPr>
        <w:spacing w:after="60" w:before="60"/>
      </w:pPr>
      <w:r>
        <w:rPr>
          <w:rFonts w:ascii="Arial" w:cs="Arial" w:eastAsia="Arial" w:hAnsi="Arial"/>
          <w:sz w:val="22"/>
          <w:szCs w:val="22"/>
        </w:rPr>
        <w:t xml:space="preserve">Withdrawal, improvisation, or continuation without prior notice if conditions change</w:t>
      </w:r>
    </w:p>
    <w:p>
      <w:pPr>
        <w:pBdr>
          <w:bottom w:val="single" w:color="888888" w:sz="6" w:space="1"/>
        </w:pBdr>
        <w:spacing w:after="160" w:before="160"/>
      </w:pPr>
    </w:p>
    <w:p>
      <w:pPr>
        <w:pStyle w:val="Heading1"/>
      </w:pPr>
      <w:r>
        <w:rPr>
          <w:rFonts w:ascii="Arial" w:cs="Arial" w:eastAsia="Arial" w:hAnsi="Arial"/>
          <w:b/>
          <w:bCs/>
          <w:sz w:val="26"/>
          <w:szCs w:val="26"/>
        </w:rPr>
        <w:t xml:space="preserve">2. ASSUMPTION OF RISK &amp; LIABILITY WAIVER</w:t>
      </w:r>
    </w:p>
    <w:p>
      <w:pPr>
        <w:spacing w:after="80" w:before="80"/>
      </w:pPr>
      <w:r>
        <w:rPr>
          <w:rFonts w:ascii="Arial" w:cs="Arial" w:eastAsia="Arial" w:hAnsi="Arial"/>
          <w:sz w:val="22"/>
          <w:szCs w:val="22"/>
        </w:rPr>
        <w:t xml:space="preserve">The Client voluntarily assumes all risks associated with paranormal intervention. GUNNERS shall not be held liable for any of the following outcomes:</w:t>
      </w:r>
    </w:p>
    <w:p>
      <w:pPr>
        <w:pStyle w:val="ListParagraph"/>
        <w:numPr>
          <w:ilvl w:val="0"/>
          <w:numId w:val="2"/>
        </w:numPr>
        <w:spacing w:after="60" w:before="60"/>
      </w:pPr>
      <w:r>
        <w:rPr>
          <w:rFonts w:ascii="Arial" w:cs="Arial" w:eastAsia="Arial" w:hAnsi="Arial"/>
          <w:sz w:val="22"/>
          <w:szCs w:val="22"/>
        </w:rPr>
        <w:t xml:space="preserve">Property damage, broken objects, or structural harm caused during operations</w:t>
      </w:r>
    </w:p>
    <w:p>
      <w:pPr>
        <w:pStyle w:val="ListParagraph"/>
        <w:numPr>
          <w:ilvl w:val="0"/>
          <w:numId w:val="2"/>
        </w:numPr>
        <w:spacing w:after="60" w:before="60"/>
      </w:pPr>
      <w:r>
        <w:rPr>
          <w:rFonts w:ascii="Arial" w:cs="Arial" w:eastAsia="Arial" w:hAnsi="Arial"/>
          <w:sz w:val="22"/>
          <w:szCs w:val="22"/>
        </w:rPr>
        <w:t xml:space="preserve">Missed shots, incorrect target identification, or accidental discharge</w:t>
      </w:r>
    </w:p>
    <w:p>
      <w:pPr>
        <w:pStyle w:val="ListParagraph"/>
        <w:numPr>
          <w:ilvl w:val="0"/>
          <w:numId w:val="2"/>
        </w:numPr>
        <w:spacing w:after="60" w:before="60"/>
      </w:pPr>
      <w:r>
        <w:rPr>
          <w:rFonts w:ascii="Arial" w:cs="Arial" w:eastAsia="Arial" w:hAnsi="Arial"/>
          <w:sz w:val="22"/>
          <w:szCs w:val="22"/>
        </w:rPr>
        <w:t xml:space="preserve">Escalation of paranormal activity — including situations that become "way worse than before"</w:t>
      </w:r>
    </w:p>
    <w:p>
      <w:pPr>
        <w:pStyle w:val="ListParagraph"/>
        <w:numPr>
          <w:ilvl w:val="0"/>
          <w:numId w:val="2"/>
        </w:numPr>
        <w:spacing w:after="60" w:before="60"/>
      </w:pPr>
      <w:r>
        <w:rPr>
          <w:rFonts w:ascii="Arial" w:cs="Arial" w:eastAsia="Arial" w:hAnsi="Arial"/>
          <w:sz w:val="22"/>
          <w:szCs w:val="22"/>
        </w:rPr>
        <w:t xml:space="preserve">Unexplained noises, disappearing objects, or spiritual residue following engagement</w:t>
      </w:r>
    </w:p>
    <w:p>
      <w:pPr>
        <w:pStyle w:val="ListParagraph"/>
        <w:numPr>
          <w:ilvl w:val="0"/>
          <w:numId w:val="2"/>
        </w:numPr>
        <w:spacing w:after="60" w:before="60"/>
      </w:pPr>
      <w:r>
        <w:rPr>
          <w:rFonts w:ascii="Arial" w:cs="Arial" w:eastAsia="Arial" w:hAnsi="Arial"/>
          <w:sz w:val="22"/>
          <w:szCs w:val="22"/>
        </w:rPr>
        <w:t xml:space="preserve">Noise, disturbance, or emotional distress experienced by the Client or third parties</w:t>
      </w:r>
    </w:p>
    <w:p>
      <w:pPr>
        <w:pStyle w:val="ListParagraph"/>
        <w:numPr>
          <w:ilvl w:val="0"/>
          <w:numId w:val="2"/>
        </w:numPr>
        <w:spacing w:after="60" w:before="60"/>
      </w:pPr>
      <w:r>
        <w:rPr>
          <w:rFonts w:ascii="Arial" w:cs="Arial" w:eastAsia="Arial" w:hAnsi="Arial"/>
          <w:sz w:val="22"/>
          <w:szCs w:val="22"/>
        </w:rPr>
        <w:t xml:space="preserve">Any post-engagement activity, supernatural or otherwise</w:t>
      </w:r>
    </w:p>
    <w:p>
      <w:pPr>
        <w:spacing w:after="80" w:before="80"/>
      </w:pPr>
      <w:r>
        <w:rPr>
          <w:rFonts w:ascii="Arial" w:cs="Arial" w:eastAsia="Arial" w:hAnsi="Arial"/>
          <w:sz w:val="22"/>
          <w:szCs w:val="22"/>
        </w:rPr>
        <w:t xml:space="preserve">The Client agrees that these events are inherent to ghost engagement and that assigning fault to GUNNERS would be both impractical and legally unsupported under the Spectral Engagement Safety Guidelines ("SESG").</w:t>
      </w:r>
    </w:p>
    <w:p>
      <w:pPr>
        <w:pBdr>
          <w:bottom w:val="single" w:color="888888" w:sz="6" w:space="1"/>
        </w:pBdr>
        <w:spacing w:after="160" w:before="160"/>
      </w:pPr>
    </w:p>
    <w:p>
      <w:pPr>
        <w:pStyle w:val="Heading1"/>
      </w:pPr>
      <w:r>
        <w:rPr>
          <w:rFonts w:ascii="Arial" w:cs="Arial" w:eastAsia="Arial" w:hAnsi="Arial"/>
          <w:b/>
          <w:bCs/>
          <w:sz w:val="26"/>
          <w:szCs w:val="26"/>
        </w:rPr>
        <w:t xml:space="preserve">3. PROPERTY &amp; CLEANUP</w:t>
      </w:r>
    </w:p>
    <w:p>
      <w:pPr>
        <w:spacing w:after="80" w:before="80"/>
      </w:pPr>
      <w:r>
        <w:rPr>
          <w:rFonts w:ascii="Arial" w:cs="Arial" w:eastAsia="Arial" w:hAnsi="Arial"/>
          <w:sz w:val="22"/>
          <w:szCs w:val="22"/>
        </w:rPr>
        <w:t xml:space="preserve">GUNNERS is not responsible for cleaning up any mess created during operations, whether physical (shell casings, broken furniture, scorch marks) or metaphysical (ectoplasm, spiritual residue, lingering vibes). The Client accepts all cleanup responsibility.</w:t>
      </w:r>
    </w:p>
    <w:p>
      <w:pPr>
        <w:pBdr>
          <w:bottom w:val="single" w:color="888888" w:sz="6" w:space="1"/>
        </w:pBdr>
        <w:spacing w:after="160" w:before="160"/>
      </w:pPr>
    </w:p>
    <w:p>
      <w:pPr>
        <w:pStyle w:val="Heading1"/>
      </w:pPr>
      <w:r>
        <w:rPr>
          <w:rFonts w:ascii="Arial" w:cs="Arial" w:eastAsia="Arial" w:hAnsi="Arial"/>
          <w:b/>
          <w:bCs/>
          <w:sz w:val="26"/>
          <w:szCs w:val="26"/>
        </w:rPr>
        <w:t xml:space="preserve">4. NO GUARANTEE OF SUCCESS</w:t>
      </w:r>
    </w:p>
    <w:p>
      <w:pPr>
        <w:spacing w:after="80" w:before="80"/>
      </w:pPr>
      <w:r>
        <w:rPr>
          <w:rFonts w:ascii="Arial" w:cs="Arial" w:eastAsia="Arial" w:hAnsi="Arial"/>
          <w:sz w:val="22"/>
          <w:szCs w:val="22"/>
        </w:rPr>
        <w:t xml:space="preserve">GUNNERS makes no warranties, express or implied, that the ghost(s) will be successfully neutralized, removed, or even identified. Ghost behavior is inherently unpredictable. Partial results, zero results, or additional ghosts are all within the range of possible outcomes and shall not constitute grounds for a refund or lawsuit.</w:t>
      </w:r>
    </w:p>
    <w:p>
      <w:pPr>
        <w:pBdr>
          <w:bottom w:val="single" w:color="888888" w:sz="6" w:space="1"/>
        </w:pBdr>
        <w:spacing w:after="160" w:before="160"/>
      </w:pPr>
    </w:p>
    <w:p>
      <w:pPr>
        <w:pStyle w:val="Heading1"/>
      </w:pPr>
      <w:r>
        <w:rPr>
          <w:rFonts w:ascii="Arial" w:cs="Arial" w:eastAsia="Arial" w:hAnsi="Arial"/>
          <w:b/>
          <w:bCs/>
          <w:sz w:val="26"/>
          <w:szCs w:val="26"/>
        </w:rPr>
        <w:t xml:space="preserve">5. INDEMNIFICATION</w:t>
      </w:r>
    </w:p>
    <w:p>
      <w:pPr>
        <w:spacing w:after="80" w:before="80"/>
      </w:pPr>
      <w:r>
        <w:rPr>
          <w:rFonts w:ascii="Arial" w:cs="Arial" w:eastAsia="Arial" w:hAnsi="Arial"/>
          <w:sz w:val="22"/>
          <w:szCs w:val="22"/>
        </w:rPr>
        <w:t xml:space="preserve">The Client agrees to indemnify, defend, and hold harmless GUNNERS and its representatives from any claims, damages, or legal actions arising from:</w:t>
      </w:r>
    </w:p>
    <w:p>
      <w:pPr>
        <w:pStyle w:val="ListParagraph"/>
        <w:numPr>
          <w:ilvl w:val="0"/>
          <w:numId w:val="2"/>
        </w:numPr>
        <w:spacing w:after="60" w:before="60"/>
      </w:pPr>
      <w:r>
        <w:rPr>
          <w:rFonts w:ascii="Arial" w:cs="Arial" w:eastAsia="Arial" w:hAnsi="Arial"/>
          <w:sz w:val="22"/>
          <w:szCs w:val="22"/>
        </w:rPr>
        <w:t xml:space="preserve">Third-party complaints (neighbors, guests, other entities)</w:t>
      </w:r>
    </w:p>
    <w:p>
      <w:pPr>
        <w:pStyle w:val="ListParagraph"/>
        <w:numPr>
          <w:ilvl w:val="0"/>
          <w:numId w:val="2"/>
        </w:numPr>
        <w:spacing w:after="60" w:before="60"/>
      </w:pPr>
      <w:r>
        <w:rPr>
          <w:rFonts w:ascii="Arial" w:cs="Arial" w:eastAsia="Arial" w:hAnsi="Arial"/>
          <w:sz w:val="22"/>
          <w:szCs w:val="22"/>
        </w:rPr>
        <w:t xml:space="preserve">Any governmental, regulatory, or otherworldly authority investigating the engagement</w:t>
      </w:r>
    </w:p>
    <w:p>
      <w:pPr>
        <w:pStyle w:val="ListParagraph"/>
        <w:numPr>
          <w:ilvl w:val="0"/>
          <w:numId w:val="2"/>
        </w:numPr>
        <w:spacing w:after="60" w:before="60"/>
      </w:pPr>
      <w:r>
        <w:rPr>
          <w:rFonts w:ascii="Arial" w:cs="Arial" w:eastAsia="Arial" w:hAnsi="Arial"/>
          <w:sz w:val="22"/>
          <w:szCs w:val="22"/>
        </w:rPr>
        <w:t xml:space="preserve">Actions taken in good faith under high-pressure paranormal conditions</w:t>
      </w:r>
    </w:p>
    <w:p>
      <w:pPr>
        <w:pBdr>
          <w:bottom w:val="single" w:color="888888" w:sz="6" w:space="1"/>
        </w:pBdr>
        <w:spacing w:after="160" w:before="160"/>
      </w:pPr>
    </w:p>
    <w:p>
      <w:pPr>
        <w:pStyle w:val="Heading1"/>
      </w:pPr>
      <w:r>
        <w:rPr>
          <w:rFonts w:ascii="Arial" w:cs="Arial" w:eastAsia="Arial" w:hAnsi="Arial"/>
          <w:b/>
          <w:bCs/>
          <w:sz w:val="26"/>
          <w:szCs w:val="26"/>
        </w:rPr>
        <w:t xml:space="preserve">6. PAYMENT TERMS</w:t>
      </w:r>
    </w:p>
    <w:p>
      <w:pPr>
        <w:spacing w:after="80" w:before="80"/>
      </w:pPr>
      <w:r>
        <w:rPr>
          <w:rFonts w:ascii="Arial" w:cs="Arial" w:eastAsia="Arial" w:hAnsi="Arial"/>
          <w:sz w:val="22"/>
          <w:szCs w:val="22"/>
        </w:rPr>
        <w:t xml:space="preserve">Payment is due in full upon completion of services, regardless of outcome. "Completion" is defined as GUNNERS leaving the premises, whether voluntarily, tactically, or at speed.</w:t>
      </w:r>
    </w:p>
    <w:p>
      <w:pPr>
        <w:pBdr>
          <w:bottom w:val="single" w:color="888888" w:sz="6" w:space="1"/>
        </w:pBdr>
        <w:spacing w:after="160" w:before="160"/>
      </w:pPr>
    </w:p>
    <w:p>
      <w:pPr>
        <w:pStyle w:val="Heading1"/>
      </w:pPr>
      <w:r>
        <w:rPr>
          <w:rFonts w:ascii="Arial" w:cs="Arial" w:eastAsia="Arial" w:hAnsi="Arial"/>
          <w:b/>
          <w:bCs/>
          <w:sz w:val="26"/>
          <w:szCs w:val="26"/>
        </w:rPr>
        <w:t xml:space="preserve">7. INSURANCE DISCLAIMER</w:t>
      </w:r>
    </w:p>
    <w:p>
      <w:pPr>
        <w:spacing w:after="80" w:before="80"/>
      </w:pPr>
      <w:r>
        <w:rPr>
          <w:rFonts w:ascii="Arial" w:cs="Arial" w:eastAsia="Arial" w:hAnsi="Arial"/>
          <w:sz w:val="22"/>
          <w:szCs w:val="22"/>
        </w:rPr>
        <w:t xml:space="preserve">GUNNERS carries no insurance applicable to paranormal operations. The Client is encouraged to review their own homeowner's or renter's insurance policy, though GUNNERS accepts no responsibility if such coverage is denied on grounds of "ghost-related incident."</w:t>
      </w:r>
    </w:p>
    <w:p>
      <w:pPr>
        <w:pBdr>
          <w:bottom w:val="single" w:color="888888" w:sz="6" w:space="1"/>
        </w:pBdr>
        <w:spacing w:after="160" w:before="160"/>
      </w:pPr>
    </w:p>
    <w:p>
      <w:pPr>
        <w:pStyle w:val="Heading1"/>
      </w:pPr>
      <w:r>
        <w:rPr>
          <w:rFonts w:ascii="Arial" w:cs="Arial" w:eastAsia="Arial" w:hAnsi="Arial"/>
          <w:b/>
          <w:bCs/>
          <w:sz w:val="26"/>
          <w:szCs w:val="26"/>
        </w:rPr>
        <w:t xml:space="preserve">8. EMERGENCY &amp; UNEXPECTED ACTIONS</w:t>
      </w:r>
    </w:p>
    <w:p>
      <w:pPr>
        <w:spacing w:after="80" w:before="80"/>
      </w:pPr>
      <w:r>
        <w:rPr>
          <w:rFonts w:ascii="Arial" w:cs="Arial" w:eastAsia="Arial" w:hAnsi="Arial"/>
          <w:sz w:val="22"/>
          <w:szCs w:val="22"/>
        </w:rPr>
        <w:t xml:space="preserve">In the event of an emergency — including but not limited to: sudden apparition manifestation, client screaming, or equipment malfunction — GUNNERS reserves the right to take any action deemed necessary without prior consultation with the Client. This includes evacuating the premises, increasing firepower, or attempting diplomacy with the entity.</w:t>
      </w:r>
    </w:p>
    <w:p>
      <w:pPr>
        <w:pBdr>
          <w:bottom w:val="single" w:color="888888" w:sz="6" w:space="1"/>
        </w:pBdr>
        <w:spacing w:after="160" w:before="160"/>
      </w:pPr>
    </w:p>
    <w:p>
      <w:pPr>
        <w:pStyle w:val="Heading1"/>
      </w:pPr>
      <w:r>
        <w:rPr>
          <w:rFonts w:ascii="Arial" w:cs="Arial" w:eastAsia="Arial" w:hAnsi="Arial"/>
          <w:b/>
          <w:bCs/>
          <w:sz w:val="26"/>
          <w:szCs w:val="26"/>
        </w:rPr>
        <w:t xml:space="preserve">9. GOVERNING LAW</w:t>
      </w:r>
    </w:p>
    <w:p>
      <w:pPr>
        <w:spacing w:after="80" w:before="80"/>
      </w:pPr>
      <w:r>
        <w:rPr>
          <w:rFonts w:ascii="Arial" w:cs="Arial" w:eastAsia="Arial" w:hAnsi="Arial"/>
          <w:sz w:val="22"/>
          <w:szCs w:val="22"/>
        </w:rPr>
        <w:t xml:space="preserve">This Agreement shall be governed by the laws of the State of Unexplained Phenomena and applicable provisions of the Ghost Neutralization Act. Any disputes shall be submitted to the Superior Court of Paranormal Disputes, Case No. 2026-GHOST-4471.</w:t>
      </w:r>
    </w:p>
    <w:p>
      <w:pPr>
        <w:pBdr>
          <w:bottom w:val="single" w:color="888888" w:sz="6" w:space="1"/>
        </w:pBdr>
        <w:spacing w:after="160" w:before="160"/>
      </w:pPr>
    </w:p>
    <w:p>
      <w:pPr>
        <w:pStyle w:val="Heading1"/>
      </w:pPr>
      <w:r>
        <w:rPr>
          <w:rFonts w:ascii="Arial" w:cs="Arial" w:eastAsia="Arial" w:hAnsi="Arial"/>
          <w:b/>
          <w:bCs/>
          <w:sz w:val="26"/>
          <w:szCs w:val="26"/>
        </w:rPr>
        <w:t xml:space="preserve">10. FINAL ACKNOWLEDGMENT</w:t>
      </w:r>
    </w:p>
    <w:p>
      <w:pPr>
        <w:spacing w:after="80" w:before="80"/>
      </w:pPr>
      <w:r>
        <w:rPr>
          <w:rFonts w:ascii="Arial" w:cs="Arial" w:eastAsia="Arial" w:hAnsi="Arial"/>
          <w:sz w:val="22"/>
          <w:szCs w:val="22"/>
        </w:rPr>
        <w:t xml:space="preserve">By signing below, the Client confirms they have read, understood, and agreed to all terms of this waiver. The Client further acknowledges that they hired ghost hunters, and should calibrate expectations accordingly.</w:t>
      </w:r>
    </w:p>
    <w:p>
      <w:pPr>
        <w:spacing w:after="200"/>
      </w:pPr>
    </w:p>
    <w:p>
      <w:pPr>
        <w:spacing w:after="100" w:before="200"/>
      </w:pPr>
      <w:r>
        <w:rPr>
          <w:rFonts w:ascii="Arial" w:cs="Arial" w:eastAsia="Arial" w:hAnsi="Arial"/>
          <w:sz w:val="22"/>
          <w:szCs w:val="22"/>
        </w:rPr>
        <w:t xml:space="preserve">Client Signature:  ________________________________     Date: __________</w:t>
      </w:r>
    </w:p>
    <w:p>
      <w:pPr>
        <w:spacing w:after="100" w:before="200"/>
      </w:pPr>
      <w:r>
        <w:rPr>
          <w:rFonts w:ascii="Arial" w:cs="Arial" w:eastAsia="Arial" w:hAnsi="Arial"/>
          <w:sz w:val="22"/>
          <w:szCs w:val="22"/>
        </w:rPr>
        <w:t xml:space="preserve">GUNNERS Authorized Representative:  ________________________________     Date: __________</w:t>
      </w:r>
    </w:p>
    <w:p>
      <w:pPr>
        <w:spacing w:after="80"/>
      </w:pPr>
    </w:p>
    <w:p>
      <w:pPr>
        <w:jc w:val="center"/>
      </w:pPr>
      <w:r>
        <w:rPr>
          <w:rFonts w:ascii="Arial" w:cs="Arial" w:eastAsia="Arial" w:hAnsi="Arial"/>
          <w:i/>
          <w:iCs/>
          <w:color w:val="666666"/>
          <w:sz w:val="18"/>
          <w:szCs w:val="18"/>
        </w:rPr>
        <w:t xml:space="preserve">FILED: This Day of Questionable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1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2026-04-19T06:14:36.840Z</dcterms:created>
  <dcterms:modified xsi:type="dcterms:W3CDTF">2026-04-19T06:14:36.841Z</dcterms:modified>
</cp:coreProperties>
</file>

<file path=docProps/custom.xml><?xml version="1.0" encoding="utf-8"?>
<Properties xmlns="http://schemas.openxmlformats.org/officeDocument/2006/custom-properties" xmlns:vt="http://schemas.openxmlformats.org/officeDocument/2006/docPropsVTypes"/>
</file>