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19,032,651.50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1,623,956.60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1,623,956.60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17,408,694.90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北京神州汽车租赁有限公司济南洪楼分公司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