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9DDB" w14:textId="0C474475" w:rsidR="006E7D94" w:rsidRDefault="006E7D94" w:rsidP="00227467">
      <w:pPr>
        <w:ind w:left="720" w:hanging="360"/>
        <w:rPr>
          <w:b/>
          <w:bCs/>
        </w:rPr>
      </w:pPr>
      <w:r w:rsidRPr="006E7D94">
        <w:rPr>
          <w:b/>
          <w:bCs/>
        </w:rPr>
        <w:t>Séminaire du 23 au 25 août 2021 à Radisson Blu</w:t>
      </w:r>
      <w:r>
        <w:rPr>
          <w:b/>
          <w:bCs/>
        </w:rPr>
        <w:t> :</w:t>
      </w:r>
    </w:p>
    <w:p w14:paraId="2519EC3D" w14:textId="0D605CD6" w:rsidR="006E7D94" w:rsidRPr="006E7D94" w:rsidRDefault="006E7D94" w:rsidP="00227467">
      <w:pPr>
        <w:ind w:left="720" w:hanging="360"/>
      </w:pPr>
      <w:r w:rsidRPr="006E7D94">
        <w:rPr>
          <w:b/>
          <w:bCs/>
          <w:u w:val="single"/>
        </w:rPr>
        <w:t>Thème :</w:t>
      </w:r>
      <w:r>
        <w:t xml:space="preserve">  Les Technique de rapprochement, d’apurements des suspens et de nivellement des comptes dédiés à l’activité monétique (Régional et Internationale)</w:t>
      </w:r>
    </w:p>
    <w:p w14:paraId="3A5E5E63" w14:textId="1A4D72DF" w:rsidR="00C50F40" w:rsidRDefault="00792AEB" w:rsidP="00227467">
      <w:pPr>
        <w:pStyle w:val="Paragraphedeliste"/>
        <w:numPr>
          <w:ilvl w:val="0"/>
          <w:numId w:val="1"/>
        </w:numPr>
      </w:pPr>
      <w:r>
        <w:t>Introduction :</w:t>
      </w:r>
    </w:p>
    <w:p w14:paraId="261F89B2" w14:textId="3B949CAE" w:rsidR="00792AEB" w:rsidRDefault="00792AEB" w:rsidP="00792AEB">
      <w:pPr>
        <w:pStyle w:val="Paragraphedeliste"/>
        <w:numPr>
          <w:ilvl w:val="0"/>
          <w:numId w:val="1"/>
        </w:numPr>
      </w:pPr>
      <w:r>
        <w:t xml:space="preserve">Présentation des membres </w:t>
      </w:r>
    </w:p>
    <w:p w14:paraId="4F4B86C4" w14:textId="3A3CB26C" w:rsidR="00792AEB" w:rsidRDefault="00792AEB" w:rsidP="00792AEB">
      <w:pPr>
        <w:pStyle w:val="Paragraphedeliste"/>
        <w:numPr>
          <w:ilvl w:val="0"/>
          <w:numId w:val="1"/>
        </w:numPr>
      </w:pPr>
      <w:r>
        <w:t>Présentation du GIM-UEMOA</w:t>
      </w:r>
    </w:p>
    <w:p w14:paraId="45959B05" w14:textId="442726CB" w:rsidR="00792AEB" w:rsidRDefault="00792AEB" w:rsidP="00792AEB">
      <w:pPr>
        <w:pStyle w:val="Paragraphedeliste"/>
        <w:numPr>
          <w:ilvl w:val="0"/>
          <w:numId w:val="2"/>
        </w:numPr>
      </w:pPr>
      <w:r>
        <w:t>Les organes du GIM</w:t>
      </w:r>
    </w:p>
    <w:p w14:paraId="2D0809EC" w14:textId="1EE2E63D" w:rsidR="00792AEB" w:rsidRDefault="00792AEB" w:rsidP="00792AEB">
      <w:pPr>
        <w:pStyle w:val="Paragraphedeliste"/>
        <w:numPr>
          <w:ilvl w:val="0"/>
          <w:numId w:val="2"/>
        </w:numPr>
      </w:pPr>
      <w:r>
        <w:t>L’écosystème du GIM</w:t>
      </w:r>
    </w:p>
    <w:p w14:paraId="1747E1C4" w14:textId="1173C78A" w:rsidR="00792AEB" w:rsidRDefault="00792AEB" w:rsidP="00792AEB">
      <w:pPr>
        <w:pStyle w:val="Paragraphedeliste"/>
        <w:numPr>
          <w:ilvl w:val="0"/>
          <w:numId w:val="2"/>
        </w:numPr>
      </w:pPr>
      <w:r>
        <w:t>L’activité du GIM</w:t>
      </w:r>
    </w:p>
    <w:p w14:paraId="21BABEBF" w14:textId="001AE24B" w:rsidR="00792AEB" w:rsidRDefault="003A0B0D" w:rsidP="00792AEB">
      <w:pPr>
        <w:pStyle w:val="Paragraphedeliste"/>
        <w:numPr>
          <w:ilvl w:val="0"/>
          <w:numId w:val="3"/>
        </w:numPr>
      </w:pPr>
      <w:r>
        <w:t>Le réseau on us</w:t>
      </w:r>
    </w:p>
    <w:p w14:paraId="3D41ED0E" w14:textId="0C30F17B" w:rsidR="003A0B0D" w:rsidRDefault="003A0B0D" w:rsidP="003A0B0D">
      <w:pPr>
        <w:pStyle w:val="Paragraphedeliste"/>
        <w:numPr>
          <w:ilvl w:val="0"/>
          <w:numId w:val="4"/>
        </w:numPr>
      </w:pPr>
      <w:r>
        <w:t>Le flux online</w:t>
      </w:r>
    </w:p>
    <w:p w14:paraId="4CACB05C" w14:textId="2267F60B" w:rsidR="003A0B0D" w:rsidRDefault="003A0B0D" w:rsidP="003A0B0D">
      <w:pPr>
        <w:pStyle w:val="Paragraphedeliste"/>
        <w:numPr>
          <w:ilvl w:val="0"/>
          <w:numId w:val="4"/>
        </w:numPr>
      </w:pPr>
      <w:r>
        <w:t>Le flux back Office</w:t>
      </w:r>
    </w:p>
    <w:p w14:paraId="0956D094" w14:textId="43BC0E35" w:rsidR="003A0B0D" w:rsidRDefault="003A0B0D" w:rsidP="003A0B0D">
      <w:pPr>
        <w:pStyle w:val="Paragraphedeliste"/>
        <w:numPr>
          <w:ilvl w:val="0"/>
          <w:numId w:val="4"/>
        </w:numPr>
      </w:pPr>
      <w:r>
        <w:t>Comptabilisation des transactions On us</w:t>
      </w:r>
    </w:p>
    <w:p w14:paraId="36FA4AA8" w14:textId="3F4FCAFB" w:rsidR="003A0B0D" w:rsidRDefault="003A0B0D" w:rsidP="003A0B0D">
      <w:pPr>
        <w:pStyle w:val="Paragraphedeliste"/>
        <w:numPr>
          <w:ilvl w:val="0"/>
          <w:numId w:val="4"/>
        </w:numPr>
      </w:pPr>
      <w:r>
        <w:t>Le rapport nécessaire au rapprochement des transaction on us</w:t>
      </w:r>
    </w:p>
    <w:p w14:paraId="65914CC3" w14:textId="7D5BD5AF" w:rsidR="00792AEB" w:rsidRDefault="003A0B0D" w:rsidP="00792AEB">
      <w:pPr>
        <w:pStyle w:val="Paragraphedeliste"/>
        <w:numPr>
          <w:ilvl w:val="0"/>
          <w:numId w:val="3"/>
        </w:numPr>
      </w:pPr>
      <w:r>
        <w:t>Le réseau interbancaire (les Operations régionales GIM-UEMOA)</w:t>
      </w:r>
    </w:p>
    <w:p w14:paraId="1BB92133" w14:textId="0CB7B9A4" w:rsidR="003A0B0D" w:rsidRDefault="003A0B0D" w:rsidP="003A0B0D">
      <w:pPr>
        <w:pStyle w:val="Paragraphedeliste"/>
        <w:numPr>
          <w:ilvl w:val="0"/>
          <w:numId w:val="5"/>
        </w:numPr>
      </w:pPr>
      <w:r>
        <w:t>Le flux GIM-UEMOA</w:t>
      </w:r>
    </w:p>
    <w:p w14:paraId="3D179C76" w14:textId="7F597F0C" w:rsidR="003A0B0D" w:rsidRDefault="003A0B0D" w:rsidP="003A0B0D">
      <w:pPr>
        <w:pStyle w:val="Paragraphedeliste"/>
        <w:numPr>
          <w:ilvl w:val="0"/>
          <w:numId w:val="5"/>
        </w:numPr>
      </w:pPr>
      <w:r>
        <w:t>Le flux Online</w:t>
      </w:r>
    </w:p>
    <w:p w14:paraId="3ED74B89" w14:textId="77777777" w:rsidR="00486D48" w:rsidRDefault="003A0B0D" w:rsidP="003A0B0D">
      <w:pPr>
        <w:pStyle w:val="Paragraphedeliste"/>
        <w:numPr>
          <w:ilvl w:val="0"/>
          <w:numId w:val="5"/>
        </w:numPr>
      </w:pPr>
      <w:r>
        <w:t>Le flux Back office</w:t>
      </w:r>
    </w:p>
    <w:p w14:paraId="69233CBE" w14:textId="4B567D36" w:rsidR="00486D48" w:rsidRDefault="00486D48" w:rsidP="003A0B0D">
      <w:pPr>
        <w:pStyle w:val="Paragraphedeliste"/>
        <w:numPr>
          <w:ilvl w:val="0"/>
          <w:numId w:val="5"/>
        </w:numPr>
      </w:pPr>
      <w:r>
        <w:t>Mécanisme de détermination et de règlement des soldes monétiques</w:t>
      </w:r>
    </w:p>
    <w:p w14:paraId="4150E264" w14:textId="338102DA" w:rsidR="003A0B0D" w:rsidRDefault="00486D48" w:rsidP="003A0B0D">
      <w:pPr>
        <w:pStyle w:val="Paragraphedeliste"/>
        <w:numPr>
          <w:ilvl w:val="0"/>
          <w:numId w:val="5"/>
        </w:numPr>
      </w:pPr>
      <w:r>
        <w:t>Les types de comptes monétiques et leur imputation</w:t>
      </w:r>
      <w:r w:rsidR="003A0B0D">
        <w:t xml:space="preserve"> </w:t>
      </w:r>
    </w:p>
    <w:p w14:paraId="775724A8" w14:textId="672A9438" w:rsidR="00486D48" w:rsidRDefault="001A2EA4" w:rsidP="003A0B0D">
      <w:pPr>
        <w:pStyle w:val="Paragraphedeliste"/>
        <w:numPr>
          <w:ilvl w:val="0"/>
          <w:numId w:val="5"/>
        </w:numPr>
      </w:pPr>
      <w:r>
        <w:t>Les différents rapprochements</w:t>
      </w:r>
      <w:r w:rsidR="00486D48">
        <w:t xml:space="preserve"> suite à une journée monétique</w:t>
      </w:r>
    </w:p>
    <w:p w14:paraId="6785247F" w14:textId="4FAF80D9" w:rsidR="00C0267E" w:rsidRDefault="00C0267E" w:rsidP="00C0267E">
      <w:pPr>
        <w:pStyle w:val="Paragraphedeliste"/>
        <w:numPr>
          <w:ilvl w:val="0"/>
          <w:numId w:val="3"/>
        </w:numPr>
      </w:pPr>
      <w:r>
        <w:t>Les opérations Internationales Visa et Mastercard</w:t>
      </w:r>
    </w:p>
    <w:p w14:paraId="1AEEE3D8" w14:textId="392EB468" w:rsidR="00C0267E" w:rsidRDefault="00C0267E" w:rsidP="00C0267E">
      <w:pPr>
        <w:pStyle w:val="Paragraphedeliste"/>
        <w:numPr>
          <w:ilvl w:val="0"/>
          <w:numId w:val="6"/>
        </w:numPr>
      </w:pPr>
      <w:r>
        <w:t>Les flux internationaux visa (flux Online / flux Back Office)</w:t>
      </w:r>
    </w:p>
    <w:p w14:paraId="0DC3B14F" w14:textId="77777777" w:rsidR="00C0267E" w:rsidRDefault="00C0267E" w:rsidP="00C0267E">
      <w:pPr>
        <w:pStyle w:val="Paragraphedeliste"/>
        <w:numPr>
          <w:ilvl w:val="0"/>
          <w:numId w:val="6"/>
        </w:numPr>
      </w:pPr>
      <w:r>
        <w:t>Les flux internationaux Mastercard (flux Online / flux Back Office)</w:t>
      </w:r>
    </w:p>
    <w:p w14:paraId="2D35D041" w14:textId="77777777" w:rsidR="00C0267E" w:rsidRDefault="00C0267E" w:rsidP="00C0267E">
      <w:pPr>
        <w:pStyle w:val="Paragraphedeliste"/>
        <w:numPr>
          <w:ilvl w:val="0"/>
          <w:numId w:val="6"/>
        </w:numPr>
      </w:pPr>
      <w:r>
        <w:t>Les frais de services</w:t>
      </w:r>
    </w:p>
    <w:p w14:paraId="69C78F8C" w14:textId="77777777" w:rsidR="00C0267E" w:rsidRDefault="00C0267E" w:rsidP="00C0267E">
      <w:pPr>
        <w:pStyle w:val="Paragraphedeliste"/>
        <w:numPr>
          <w:ilvl w:val="0"/>
          <w:numId w:val="6"/>
        </w:numPr>
      </w:pPr>
      <w:r>
        <w:t>Le mécanisme de détermination et de règlement des soldes monétiques</w:t>
      </w:r>
    </w:p>
    <w:p w14:paraId="29941791" w14:textId="7F942684" w:rsidR="00C0267E" w:rsidRDefault="00C0267E" w:rsidP="00C0267E">
      <w:pPr>
        <w:pStyle w:val="Paragraphedeliste"/>
        <w:numPr>
          <w:ilvl w:val="0"/>
          <w:numId w:val="6"/>
        </w:numPr>
      </w:pPr>
      <w:r>
        <w:t>Les types de comptes monétiques et leur imputation</w:t>
      </w:r>
    </w:p>
    <w:p w14:paraId="4FCBD292" w14:textId="3A757DFC" w:rsidR="00C0267E" w:rsidRDefault="00C0267E" w:rsidP="00C0267E">
      <w:pPr>
        <w:pStyle w:val="Paragraphedeliste"/>
        <w:numPr>
          <w:ilvl w:val="0"/>
          <w:numId w:val="6"/>
        </w:numPr>
      </w:pPr>
      <w:r>
        <w:t xml:space="preserve">Les différents rapports suite à une journée monétique </w:t>
      </w:r>
    </w:p>
    <w:sectPr w:rsidR="00C02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001B" w14:textId="77777777" w:rsidR="005F5252" w:rsidRDefault="005F5252" w:rsidP="006E7D94">
      <w:pPr>
        <w:spacing w:after="0" w:line="240" w:lineRule="auto"/>
      </w:pPr>
      <w:r>
        <w:separator/>
      </w:r>
    </w:p>
  </w:endnote>
  <w:endnote w:type="continuationSeparator" w:id="0">
    <w:p w14:paraId="3E2068AB" w14:textId="77777777" w:rsidR="005F5252" w:rsidRDefault="005F5252" w:rsidP="006E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5C51B" w14:textId="77777777" w:rsidR="005F5252" w:rsidRDefault="005F5252" w:rsidP="006E7D94">
      <w:pPr>
        <w:spacing w:after="0" w:line="240" w:lineRule="auto"/>
      </w:pPr>
      <w:r>
        <w:separator/>
      </w:r>
    </w:p>
  </w:footnote>
  <w:footnote w:type="continuationSeparator" w:id="0">
    <w:p w14:paraId="7D60A3B0" w14:textId="77777777" w:rsidR="005F5252" w:rsidRDefault="005F5252" w:rsidP="006E7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4AA"/>
    <w:multiLevelType w:val="hybridMultilevel"/>
    <w:tmpl w:val="064E315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0292C"/>
    <w:multiLevelType w:val="hybridMultilevel"/>
    <w:tmpl w:val="96F6FB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D0D81"/>
    <w:multiLevelType w:val="hybridMultilevel"/>
    <w:tmpl w:val="7BE435B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02DAC"/>
    <w:multiLevelType w:val="hybridMultilevel"/>
    <w:tmpl w:val="BF7E00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4F1A"/>
    <w:multiLevelType w:val="hybridMultilevel"/>
    <w:tmpl w:val="58460740"/>
    <w:lvl w:ilvl="0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6E435F9"/>
    <w:multiLevelType w:val="hybridMultilevel"/>
    <w:tmpl w:val="B964A35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4A"/>
    <w:rsid w:val="001A2EA4"/>
    <w:rsid w:val="00227467"/>
    <w:rsid w:val="003A0B0D"/>
    <w:rsid w:val="00486D48"/>
    <w:rsid w:val="00572F4A"/>
    <w:rsid w:val="005F5252"/>
    <w:rsid w:val="006B7F7B"/>
    <w:rsid w:val="006E7D94"/>
    <w:rsid w:val="00792AEB"/>
    <w:rsid w:val="00C0267E"/>
    <w:rsid w:val="00C5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B4EA"/>
  <w15:chartTrackingRefBased/>
  <w15:docId w15:val="{E49D8617-275C-42A4-A685-B36648B8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2A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7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7D94"/>
  </w:style>
  <w:style w:type="paragraph" w:styleId="Pieddepage">
    <w:name w:val="footer"/>
    <w:basedOn w:val="Normal"/>
    <w:link w:val="PieddepageCar"/>
    <w:uiPriority w:val="99"/>
    <w:unhideWhenUsed/>
    <w:rsid w:val="006E7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7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Momar Fall</dc:creator>
  <cp:keywords/>
  <dc:description/>
  <cp:lastModifiedBy>Momar Fall</cp:lastModifiedBy>
  <cp:revision>7</cp:revision>
  <dcterms:created xsi:type="dcterms:W3CDTF">2021-08-26T09:41:00Z</dcterms:created>
  <dcterms:modified xsi:type="dcterms:W3CDTF">2021-08-26T13:51:00Z</dcterms:modified>
</cp:coreProperties>
</file>