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9"/>
        <w:gridCol w:w="1180"/>
        <w:gridCol w:w="4374"/>
      </w:tblGrid>
      <w:tr>
        <w:trPr/>
        <w:tc>
          <w:tcPr>
            <w:tcW w:w="9923" w:type="dxa"/>
            <w:gridSpan w:val="3"/>
            <w:tcBorders>
              <w:bottom w:val="single" w:sz="8" w:space="0" w:color="000000"/>
            </w:tcBorders>
            <w:vAlign w:val="bottom"/>
          </w:tcPr>
          <w:p>
            <w:pPr>
              <w:pStyle w:val="Header"/>
              <w:widowControl/>
              <w:tabs>
                <w:tab w:val="left" w:pos="690" w:leader="none"/>
                <w:tab w:val="center" w:pos="4536" w:leader="none"/>
                <w:tab w:val="right" w:pos="9072" w:leader="none"/>
              </w:tabs>
              <w:suppressAutoHyphens w:val="true"/>
              <w:spacing w:before="0" w:after="100"/>
              <w:jc w:val="center"/>
              <w:rPr>
                <w:lang w:val="bg-BG" w:bidi="ar-SA"/>
              </w:rPr>
            </w:pPr>
            <w:bookmarkStart w:id="0" w:name="_Hlk160727324"/>
            <w:bookmarkStart w:id="1" w:name="_Hlk127260926"/>
            <w:bookmarkEnd w:id="0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20"/>
                <w:kern w:val="0"/>
                <w:sz w:val="22"/>
                <w:szCs w:val="22"/>
                <w:lang w:val="bg-BG" w:eastAsia="en-US" w:bidi="ar-SA"/>
              </w:rPr>
              <w:t>МИНИСТЕРСТВО НА ОБРАЗОВАНИЕТО И НАУКАТА</w:t>
            </w:r>
          </w:p>
        </w:tc>
      </w:tr>
      <w:tr>
        <w:trPr/>
        <w:tc>
          <w:tcPr>
            <w:tcW w:w="4369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Header"/>
              <w:widowControl/>
              <w:suppressAutoHyphens w:val="true"/>
              <w:spacing w:before="100" w:after="0"/>
              <w:jc w:val="start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0"/>
                <w:szCs w:val="20"/>
                <w:lang w:val="bg-BG" w:eastAsia="en-US" w:bidi="ar-SA"/>
              </w:rPr>
              <w:t>ПРОФЕСИОНАЛНА ГИМНАЗИЯ ПО ЕЛЕКТРОТЕХНИКА И ЕЛЕКТРОНИКА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бул. Пещерско шосе № 26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4002 гр. Пловдив, България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тел. 032 / 643-657</w:t>
            </w:r>
          </w:p>
          <w:p>
            <w:pPr>
              <w:pStyle w:val="Header"/>
              <w:widowControl/>
              <w:suppressAutoHyphens w:val="true"/>
              <w:spacing w:before="0" w:after="100"/>
              <w:jc w:val="start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info-1690174@edu.mon.bg</w:t>
            </w:r>
          </w:p>
        </w:tc>
        <w:tc>
          <w:tcPr>
            <w:tcW w:w="11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lang w:val="bg-BG" w:bidi="ar-SA"/>
              </w:rPr>
            </w:pPr>
            <w:r>
              <w:rPr>
                <w:lang w:val="bg-BG" w:bidi="ar-SA"/>
              </w:rPr>
              <w:drawing>
                <wp:inline distT="0" distB="0" distL="0" distR="0">
                  <wp:extent cx="808990" cy="569595"/>
                  <wp:effectExtent l="0" t="0" r="0" b="0"/>
                  <wp:docPr id="1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934628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569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Header"/>
              <w:widowControl/>
              <w:suppressAutoHyphens w:val="true"/>
              <w:spacing w:before="100" w:after="0"/>
              <w:jc w:val="end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0"/>
                <w:szCs w:val="20"/>
                <w:lang w:val="bg-BG" w:eastAsia="en-US" w:bidi="ar-SA"/>
              </w:rPr>
              <w:t>VOCATIONAL SCHOOL OF ELECTRICAL ENGINEERING AND ELECTRONICS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26 Peshtersko chaussee blvd.,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4002 Plovdiv, Bulgaria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Phone: 032 / 643-657</w:t>
            </w:r>
          </w:p>
          <w:p>
            <w:pPr>
              <w:pStyle w:val="Header"/>
              <w:widowControl/>
              <w:suppressAutoHyphens w:val="true"/>
              <w:spacing w:before="0" w:after="100"/>
              <w:jc w:val="end"/>
              <w:rPr>
                <w:lang w:val="bg-BG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bg-BG" w:eastAsia="en-US" w:bidi="ar-SA"/>
              </w:rPr>
              <w:t>info-1690174@edu.mon.bg</w:t>
            </w:r>
          </w:p>
        </w:tc>
      </w:tr>
    </w:tbl>
    <w:p>
      <w:pPr>
        <w:pStyle w:val="Default"/>
        <w:tabs>
          <w:tab w:val="clear" w:pos="708"/>
          <w:tab w:val="left" w:pos="6804" w:leader="none"/>
        </w:tabs>
        <w:spacing w:lineRule="auto" w:line="360"/>
        <w:jc w:val="center"/>
        <w:rPr>
          <w:b/>
          <w:bCs/>
          <w:sz w:val="12"/>
          <w:szCs w:val="12"/>
          <w:lang w:val="bg-BG" w:eastAsia="bg-BG" w:bidi="ar-SA"/>
        </w:rPr>
      </w:pPr>
      <w:r>
        <w:rPr>
          <w:b/>
          <w:bCs/>
          <w:sz w:val="12"/>
          <w:szCs w:val="12"/>
          <w:lang w:val="bg-BG" w:eastAsia="bg-BG" w:bidi="ar-SA"/>
        </w:rPr>
      </w:r>
    </w:p>
    <w:p>
      <w:pPr>
        <w:pStyle w:val="Default"/>
        <w:tabs>
          <w:tab w:val="clear" w:pos="708"/>
          <w:tab w:val="left" w:pos="6804" w:leader="none"/>
        </w:tabs>
        <w:spacing w:lineRule="auto" w:line="360"/>
        <w:jc w:val="center"/>
        <w:rPr>
          <w:b/>
          <w:bCs/>
          <w:sz w:val="12"/>
          <w:szCs w:val="12"/>
          <w:lang w:val="bg-BG" w:bidi="ar-SA"/>
        </w:rPr>
      </w:pPr>
      <w:r>
        <w:rPr>
          <w:b/>
          <w:bCs/>
          <w:sz w:val="12"/>
          <w:szCs w:val="12"/>
          <w:lang w:val="bg-BG" w:bidi="ar-SA"/>
        </w:rPr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b/>
          <w:bCs/>
          <w:sz w:val="28"/>
          <w:szCs w:val="28"/>
          <w:lang w:val="bg-BG" w:bidi="ar-SA"/>
        </w:rPr>
        <w:t>професия код 481030 „Приложен програмист“</w:t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b/>
          <w:bCs/>
          <w:sz w:val="28"/>
          <w:szCs w:val="28"/>
          <w:lang w:val="bg-BG" w:bidi="ar-SA"/>
        </w:rPr>
        <w:t>специалност код 4810301 „Приложно програмиране“</w:t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b/>
          <w:bCs/>
          <w:spacing w:val="40"/>
          <w:sz w:val="48"/>
          <w:szCs w:val="48"/>
          <w:lang w:val="bg-BG" w:bidi="ar-SA"/>
        </w:rPr>
        <w:t>ДОКЛАД</w:t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b/>
          <w:bCs/>
          <w:caps/>
          <w:sz w:val="28"/>
          <w:szCs w:val="28"/>
          <w:lang w:val="bg-BG" w:bidi="ar-SA"/>
        </w:rPr>
        <w:t>Тема: Доклад за киберсигурност, мащабируемост и UX/UI изживяване</w:t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lang w:val="bg-BG" w:bidi="ar-SA"/>
        </w:rPr>
      </w:pPr>
      <w:r>
        <w:rPr>
          <w:b/>
          <w:bCs/>
          <w:sz w:val="28"/>
          <w:szCs w:val="28"/>
          <w:lang w:val="bg-BG" w:bidi="ar-SA"/>
        </w:rPr>
        <w:t>Автор</w:t>
      </w:r>
      <w:r>
        <w:rPr>
          <w:sz w:val="28"/>
          <w:szCs w:val="28"/>
          <w:lang w:val="bg-BG" w:bidi="ar-SA"/>
        </w:rPr>
        <w:t>: ……………</w:t>
      </w:r>
    </w:p>
    <w:p>
      <w:pPr>
        <w:pStyle w:val="Default"/>
        <w:spacing w:lineRule="auto" w:line="360"/>
        <w:rPr>
          <w:lang w:val="bg-BG" w:bidi="ar-SA"/>
        </w:rPr>
      </w:pPr>
      <w:r>
        <w:rPr>
          <w:rFonts w:eastAsia="SimSun"/>
          <w:sz w:val="28"/>
          <w:szCs w:val="28"/>
          <w:lang w:val="bg-BG" w:bidi="ar-SA"/>
        </w:rPr>
        <w:t xml:space="preserve">       </w:t>
      </w:r>
      <w:r>
        <w:rPr>
          <w:rFonts w:eastAsia="SimSun"/>
          <w:sz w:val="28"/>
          <w:szCs w:val="28"/>
          <w:lang w:val="bg-BG" w:bidi="ar-SA"/>
        </w:rPr>
        <w:t>/</w:t>
      </w:r>
      <w:r>
        <w:rPr>
          <w:rFonts w:eastAsia="SimSun"/>
          <w:color w:val="000000"/>
          <w:sz w:val="28"/>
          <w:szCs w:val="28"/>
          <w:lang w:val="bg-BG" w:bidi="ar-SA"/>
        </w:rPr>
        <w:t>Момчил Калестров</w:t>
      </w:r>
      <w:r>
        <w:rPr>
          <w:rFonts w:eastAsia="SimSun"/>
          <w:sz w:val="28"/>
          <w:szCs w:val="28"/>
          <w:lang w:val="bg-BG" w:bidi="ar-SA"/>
        </w:rPr>
        <w:t>/</w:t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lang w:val="bg-BG" w:bidi="ar-SA"/>
        </w:rPr>
      </w:pPr>
      <w:r>
        <w:rPr>
          <w:rFonts w:eastAsia="Times New Roman"/>
          <w:sz w:val="28"/>
          <w:szCs w:val="28"/>
          <w:lang w:val="bg-BG" w:eastAsia="bg-BG" w:bidi="ar-SA"/>
        </w:rPr>
        <w:t xml:space="preserve">Клас: </w:t>
      </w:r>
      <w:r>
        <w:rPr>
          <w:rFonts w:eastAsia="Times New Roman"/>
          <w:color w:val="000000"/>
          <w:sz w:val="28"/>
          <w:szCs w:val="28"/>
          <w:lang w:val="bg-BG" w:eastAsia="bg-BG" w:bidi="ar-SA"/>
        </w:rPr>
        <w:t>12а</w:t>
      </w:r>
    </w:p>
    <w:p>
      <w:pPr>
        <w:pStyle w:val="Default"/>
        <w:spacing w:lineRule="auto" w:line="360"/>
        <w:rPr>
          <w:lang w:val="bg-BG" w:bidi="ar-SA"/>
        </w:rPr>
      </w:pPr>
      <w:r>
        <w:rPr>
          <w:rFonts w:eastAsia="Times New Roman"/>
          <w:sz w:val="28"/>
          <w:szCs w:val="28"/>
          <w:lang w:val="bg-BG" w:eastAsia="bg-BG" w:bidi="ar-SA"/>
        </w:rPr>
        <w:t>e-mail: ………………………</w:t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rPr>
          <w:sz w:val="28"/>
          <w:szCs w:val="28"/>
          <w:lang w:val="bg-BG" w:bidi="ar-SA"/>
        </w:rPr>
      </w:pPr>
      <w:r>
        <w:rPr>
          <w:sz w:val="28"/>
          <w:szCs w:val="28"/>
          <w:lang w:val="bg-BG" w:bidi="ar-SA"/>
        </w:rPr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sz w:val="28"/>
          <w:szCs w:val="28"/>
          <w:lang w:val="bg-BG" w:bidi="ar-SA"/>
        </w:rPr>
        <w:t>Пловдив</w:t>
      </w:r>
    </w:p>
    <w:p>
      <w:pPr>
        <w:pStyle w:val="Default"/>
        <w:spacing w:lineRule="auto" w:line="360"/>
        <w:jc w:val="center"/>
        <w:rPr>
          <w:lang w:val="bg-BG" w:bidi="ar-SA"/>
        </w:rPr>
      </w:pPr>
      <w:r>
        <w:rPr>
          <w:sz w:val="28"/>
          <w:szCs w:val="28"/>
          <w:lang w:val="bg-BG" w:bidi="ar-SA"/>
        </w:rPr>
        <w:t>2025 година</w:t>
      </w:r>
      <w:r>
        <w:br w:type="page"/>
      </w:r>
    </w:p>
    <w:p>
      <w:pPr>
        <w:pStyle w:val="Heading1"/>
        <w:spacing w:lineRule="auto" w:line="360" w:before="0" w:after="240"/>
        <w:ind w:hanging="0" w:start="0"/>
        <w:rPr>
          <w:lang w:val="bg-BG" w:bidi="ar-SA"/>
        </w:rPr>
      </w:pPr>
      <w:bookmarkStart w:id="2" w:name="__RefHeading___Toc1575_3955437368"/>
      <w:bookmarkStart w:id="3" w:name="_Toc183426919"/>
      <w:bookmarkStart w:id="4" w:name="_Toc183427328"/>
      <w:bookmarkEnd w:id="2"/>
      <w:r>
        <w:rPr>
          <w:rFonts w:cs="Times New Roman"/>
          <w:bCs/>
          <w:szCs w:val="28"/>
          <w:lang w:val="bg-BG" w:bidi="ar-SA"/>
        </w:rPr>
        <w:t>Съдържание</w:t>
      </w:r>
      <w:bookmarkEnd w:id="3"/>
      <w:bookmarkEnd w:id="4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575_3955437368" w:tooltip="Съдържание">
            <w:r>
              <w:rPr>
                <w:rStyle w:val="IndexLink"/>
              </w:rPr>
              <w:t>Съдържание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577_3955437368" w:tooltip="Увод">
            <w:r>
              <w:rPr>
                <w:rStyle w:val="IndexLink"/>
              </w:rPr>
              <w:t>Увод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579_3955437368" w:tooltip="Глава 1 Киберсигурност при разработката на софтуерни проекти">
            <w:r>
              <w:rPr>
                <w:rStyle w:val="IndexLink"/>
              </w:rPr>
              <w:t>Глава 1 Киберсигурност при разработката на софтуерни проекти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81_3955437368" w:tooltip="1.1. Определение и значение">
            <w:r>
              <w:rPr>
                <w:rStyle w:val="IndexLink"/>
              </w:rPr>
              <w:t>1.1. Определение и значение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83_3955437368" w:tooltip="1.2. Често срещани заплахи">
            <w:r>
              <w:rPr>
                <w:rStyle w:val="IndexLink"/>
              </w:rPr>
              <w:t>1.2. Често срещани заплахи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85_3955437368" w:tooltip="1.3. Методи за защита">
            <w:r>
              <w:rPr>
                <w:rStyle w:val="IndexLink"/>
              </w:rPr>
              <w:t>1.3. Методи за защита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591_3955437368" w:tooltip="Глава 2 Мащабируемост на софтуерни решения">
            <w:r>
              <w:rPr>
                <w:rStyle w:val="IndexLink"/>
              </w:rPr>
              <w:t>Глава 2 Мащабируемост на софтуерни решения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93_3955437368" w:tooltip="2.1. Определение и значение">
            <w:r>
              <w:rPr>
                <w:rStyle w:val="IndexLink"/>
              </w:rPr>
              <w:t>2.1. Определение и значение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95_3955437368" w:tooltip="2.2. Вертикална и хоризонтална мащабируемост">
            <w:r>
              <w:rPr>
                <w:rStyle w:val="IndexLink"/>
              </w:rPr>
              <w:t>2.2. Вертикална и хоризонтална мащабируемост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97_3955437368" w:tooltip="2.3. Предизвикателства">
            <w:r>
              <w:rPr>
                <w:rStyle w:val="IndexLink"/>
              </w:rPr>
              <w:t>2.3. Предизвикателства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599_3955437368" w:tooltip="2.4. Принципи и техники за постигане на мащабируемост">
            <w:r>
              <w:rPr>
                <w:rStyle w:val="IndexLink"/>
              </w:rPr>
              <w:t>2.4. Принципи и техники за постигане на мащабируемост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603_3955437368" w:tooltip="Глава 3 UX/UI изживяване и неговото значение">
            <w:r>
              <w:rPr>
                <w:rStyle w:val="IndexLink"/>
              </w:rPr>
              <w:t>Глава 3 UX/UI изживяване и неговото значение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05_3955437368" w:tooltip="3.1. Влияние на UX/UI върху софтуерния продукт">
            <w:r>
              <w:rPr>
                <w:rStyle w:val="IndexLink"/>
              </w:rPr>
              <w:t>3.1. Влияние на UX/UI върху софтуерния продукт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07_3955437368" w:tooltip="3.2. Ролята на UX/UI и изживяването в различни платформи">
            <w:r>
              <w:rPr>
                <w:rStyle w:val="IndexLink"/>
              </w:rPr>
              <w:t>3.2. Ролята на UX/UI и изживяването в различни платформи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09_3955437368" w:tooltip="3.3. Ключови принципи на добрия UX/UI дизайн">
            <w:r>
              <w:rPr>
                <w:rStyle w:val="IndexLink"/>
              </w:rPr>
              <w:t>3.3. Ключови принципи на добрия UX/UI дизайн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615_3955437368" w:tooltip="Глава 4 Взаимодействие между киберсигурност, мащабируемост и UX/UI дизайн">
            <w:r>
              <w:rPr>
                <w:rStyle w:val="IndexLink"/>
              </w:rPr>
              <w:t>Глава 4 Взаимодействие между киберсигурност, мащабируемост и UX/UI дизайн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17_3955437368" w:tooltip="4.1. Влияние между сигурността, мащабируемостта и UX/UI дизайна">
            <w:r>
              <w:rPr>
                <w:rStyle w:val="IndexLink"/>
              </w:rPr>
              <w:t>4.1. Влияние между сигурността, мащабируемостта и UX/UI дизайна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19_3955437368" w:tooltip="4.2. Примери за балансиране на трите аспекта">
            <w:r>
              <w:rPr>
                <w:rStyle w:val="IndexLink"/>
              </w:rPr>
              <w:t>4.2. Примери за балансиране на трите аспекта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8502" w:leader="dot"/>
            </w:tabs>
            <w:rPr/>
          </w:pPr>
          <w:hyperlink w:anchor="__RefHeading___Toc1621_3955437368" w:tooltip="4.3. Трудности и стратегии за интеграция">
            <w:r>
              <w:rPr>
                <w:rStyle w:val="IndexLink"/>
              </w:rPr>
              <w:t>4.3. Трудности и стратегии за интеграция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627_3955437368" w:tooltip="Заключение">
            <w:r>
              <w:rPr>
                <w:rStyle w:val="IndexLink"/>
              </w:rPr>
              <w:t>Заключение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8502" w:leader="dot"/>
            </w:tabs>
            <w:rPr/>
          </w:pPr>
          <w:hyperlink w:anchor="__RefHeading___Toc1629_3955437368" w:tooltip="Използвани Източници">
            <w:r>
              <w:rPr>
                <w:rStyle w:val="IndexLink"/>
              </w:rPr>
              <w:t>Използвани Източници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1985" w:right="1418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center" w:pos="4251" w:leader="none"/>
        </w:tabs>
        <w:spacing w:lineRule="auto" w:line="360" w:before="240" w:after="240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ab/>
      </w:r>
    </w:p>
    <w:p>
      <w:pPr>
        <w:pStyle w:val="Heading1"/>
        <w:spacing w:lineRule="auto" w:line="360"/>
        <w:ind w:hanging="0" w:start="0"/>
        <w:rPr>
          <w:lang w:val="bg-BG" w:bidi="ar-SA"/>
        </w:rPr>
      </w:pPr>
      <w:bookmarkStart w:id="5" w:name="__RefHeading___Toc1577_3955437368"/>
      <w:bookmarkStart w:id="6" w:name="_Toc183427329"/>
      <w:bookmarkEnd w:id="5"/>
      <w:r>
        <w:rPr>
          <w:rFonts w:cs="Times New Roman"/>
          <w:bCs/>
          <w:szCs w:val="28"/>
          <w:lang w:val="bg-BG" w:bidi="ar-SA"/>
        </w:rPr>
        <w:t>Увод</w:t>
      </w:r>
      <w:bookmarkEnd w:id="6"/>
    </w:p>
    <w:p>
      <w:pPr>
        <w:pStyle w:val="Normal"/>
        <w:bidi w:val="0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В епохата на дигиталната трансформация софтуерът се превърна в основа на икономиката, комуникациите и ежедневието. Всяко съвременно приложение, независимо дали е уеб система, мобилно приложение или корпоративен софтуер, трябва да отговаря на комплексни изисквания, за да бъде успешно и устойчиво. Сред най-важните три направления се открояват киберсигурността, мащабируемостта и потребителското изживяване (UX/UI).</w:t>
      </w:r>
    </w:p>
    <w:p>
      <w:pPr>
        <w:pStyle w:val="Normal"/>
        <w:bidi w:val="0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Киберсигурността е критичен фактор, тъй като заплахите в интернет средата се развиват динамично и могат да компрометират както данните на потребителите, така и репутацията на организациите. Мащабируемостта определя способността на едно решение да расте заедно с нуждите на бизнеса и броя на потребителите, без да губи от производителност и надеждност. От своя страна UX/UI дизайнът е решаващ за това дали потребителите ще приемат продукта.</w:t>
      </w:r>
    </w:p>
    <w:p>
      <w:pPr>
        <w:pStyle w:val="Normal"/>
        <w:bidi w:val="0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Тези три области не съществуват изолирано: сигурността влияе върху потребителското изживяване, мащабируемостта поставя технически ограничения върху интерфейса, а добрият дизайн може да подпомогне безопасността и ефективността на системата. Затова интегрирането им още в началото на разработката е ключ към дългосрочния успех на софтуерните проекти.</w:t>
      </w:r>
      <w:r>
        <w:br w:type="page"/>
      </w:r>
    </w:p>
    <w:p>
      <w:pPr>
        <w:pStyle w:val="Heading1"/>
        <w:spacing w:before="0" w:after="240"/>
        <w:ind w:hanging="0" w:start="0"/>
        <w:rPr/>
      </w:pPr>
      <w:bookmarkStart w:id="7" w:name="__RefHeading___Toc1579_3955437368"/>
      <w:bookmarkStart w:id="8" w:name="_Toc183427330"/>
      <w:bookmarkEnd w:id="7"/>
      <w:r>
        <w:rPr>
          <w:lang w:val="bg-BG" w:bidi="ar-SA"/>
        </w:rPr>
        <w:t xml:space="preserve">Глава 1 </w:t>
      </w:r>
      <w:bookmarkEnd w:id="8"/>
      <w:r>
        <w:rPr>
          <w:rStyle w:val="Strong"/>
          <w:b/>
          <w:lang w:val="bg-BG" w:bidi="ar-SA"/>
        </w:rPr>
        <w:t>Киберсигурност при разработката на софтуерни проекти</w:t>
      </w:r>
    </w:p>
    <w:p>
      <w:pPr>
        <w:pStyle w:val="Heading2"/>
        <w:ind w:hanging="0" w:start="0"/>
        <w:rPr/>
      </w:pPr>
      <w:bookmarkStart w:id="9" w:name="__RefHeading___Toc1581_3955437368"/>
      <w:bookmarkStart w:id="10" w:name="_Toc183427331"/>
      <w:bookmarkEnd w:id="9"/>
      <w:r>
        <w:rPr>
          <w:rStyle w:val="normaltextrun"/>
          <w:lang w:val="bg-BG" w:bidi="ar-SA"/>
        </w:rPr>
        <w:t xml:space="preserve">1.1. </w:t>
      </w:r>
      <w:bookmarkEnd w:id="10"/>
      <w:r>
        <w:rPr>
          <w:rStyle w:val="eop"/>
          <w:lang w:val="bg-BG" w:bidi="ar-SA"/>
        </w:rPr>
        <w:t>Определение и значение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Киберсигурността представлява съвкупност от практики, технологии и процеси, насочени към защита на компютърни системи, мрежи, приложения и данни от кибератаки, неоторизиран достъп, увреждане и други заплахи. Основната ѝ цел е да гарантира конфиденциалност, интегритет и достъпност на информационните ресурси. Тя обхваща различни подходи за превенция и защита на дигиталната информация, както и на системите, които я съхраняват, обработват и разпространяват.</w:t>
      </w:r>
    </w:p>
    <w:p>
      <w:pPr>
        <w:pStyle w:val="Heading2"/>
        <w:ind w:hanging="0" w:start="0"/>
        <w:rPr/>
      </w:pPr>
      <w:bookmarkStart w:id="11" w:name="__RefHeading___Toc1583_3955437368"/>
      <w:bookmarkStart w:id="12" w:name="_Toc183427332"/>
      <w:bookmarkEnd w:id="11"/>
      <w:r>
        <w:rPr>
          <w:rStyle w:val="normaltextrun"/>
          <w:lang w:val="bg-BG" w:bidi="ar-SA"/>
        </w:rPr>
        <w:t xml:space="preserve">1.2. </w:t>
      </w:r>
      <w:bookmarkEnd w:id="12"/>
      <w:r>
        <w:rPr>
          <w:rStyle w:val="normaltextrun"/>
          <w:lang w:val="bg-BG" w:bidi="ar-SA"/>
        </w:rPr>
        <w:t>Често срещани заплахи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Сред основните рискове, които съпътстват софтуерните системи, се открояват: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SQL инжекции - злоупотреба със слабо филтрирани входни данни, чрез които атакуващият изпраща злонамерени SQL команди към базата данни;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Cross-Site Scripting (XSS) - инжектиране на скриптове в уеб страници, които се изпълняват от браузъра на потребителя;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DDoS атаки - претоварване на системата с масирани заявки, което води до отказ на услуги;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Malware и Ransomware - злонамерен софтуер, насочен към изнудване или унищожаване на данни;</w:t>
      </w:r>
    </w:p>
    <w:p>
      <w:pPr>
        <w:pStyle w:val="Normal"/>
        <w:widowControl/>
        <w:numPr>
          <w:ilvl w:val="0"/>
          <w:numId w:val="1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Уязвимости при библиотеки - използването на външни пакети без редовни актуализации може да отвори сериозни пробойни в сигурността.</w:t>
      </w:r>
      <w:r>
        <w:br w:type="page"/>
      </w:r>
    </w:p>
    <w:p>
      <w:pPr>
        <w:pStyle w:val="Heading2"/>
        <w:spacing w:before="0" w:after="240"/>
        <w:ind w:hanging="0" w:start="0"/>
        <w:rPr/>
      </w:pPr>
      <w:bookmarkStart w:id="13" w:name="__RefHeading___Toc1585_3955437368"/>
      <w:bookmarkStart w:id="14" w:name="_Toc183427333"/>
      <w:bookmarkEnd w:id="13"/>
      <w:r>
        <w:rPr>
          <w:rStyle w:val="normaltextrun"/>
          <w:lang w:val="bg-BG" w:bidi="ar-SA"/>
        </w:rPr>
        <w:t xml:space="preserve">1.3. </w:t>
      </w:r>
      <w:bookmarkEnd w:id="14"/>
      <w:r>
        <w:rPr>
          <w:rStyle w:val="normaltextrun"/>
          <w:lang w:val="bg-BG" w:bidi="ar-SA"/>
        </w:rPr>
        <w:t>Методи за защита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За да се минимизират тези рискове, се прилагат редица практики: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Криптиране на чувствителни данни (пароли, финансови транзакции, лична информация);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Автентикация и управление на идентичността - използване на многофакторна автентикация (MFA), JSON уеб-токени и протоколи като OAuth 2.0;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Zero Trust Architecture - подход, при който никое устройство или потребител не се смята за надежден по подразбиране;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Непрекъснато наблюдение и мониторинг - системи за откриване и реагиране на инциденти.</w:t>
      </w:r>
      <w:r>
        <w:br w:type="page"/>
      </w:r>
    </w:p>
    <w:p>
      <w:pPr>
        <w:pStyle w:val="Heading1"/>
        <w:spacing w:before="0" w:after="240"/>
        <w:ind w:hanging="0" w:start="0"/>
        <w:rPr/>
      </w:pPr>
      <w:bookmarkStart w:id="15" w:name="__RefHeading___Toc1591_3955437368"/>
      <w:bookmarkStart w:id="16" w:name="_Toc183427336"/>
      <w:bookmarkEnd w:id="15"/>
      <w:r>
        <w:rPr>
          <w:lang w:val="bg-BG" w:bidi="ar-SA"/>
        </w:rPr>
        <w:t xml:space="preserve">Глава 2 </w:t>
      </w:r>
      <w:bookmarkEnd w:id="16"/>
      <w:r>
        <w:rPr>
          <w:rStyle w:val="Strong"/>
          <w:b/>
          <w:lang w:val="bg-BG" w:bidi="ar-SA"/>
        </w:rPr>
        <w:t>Мащабируемост на софтуерни решения</w:t>
      </w:r>
    </w:p>
    <w:p>
      <w:pPr>
        <w:pStyle w:val="Heading2"/>
        <w:ind w:hanging="0" w:start="0"/>
        <w:rPr/>
      </w:pPr>
      <w:bookmarkStart w:id="17" w:name="__RefHeading___Toc1593_3955437368"/>
      <w:bookmarkStart w:id="18" w:name="_Toc183427337"/>
      <w:bookmarkEnd w:id="17"/>
      <w:r>
        <w:rPr>
          <w:rStyle w:val="normaltextrun"/>
          <w:lang w:val="bg-BG" w:bidi="ar-SA"/>
        </w:rPr>
        <w:t xml:space="preserve">2.1. </w:t>
      </w:r>
      <w:bookmarkEnd w:id="18"/>
      <w:r>
        <w:rPr>
          <w:rStyle w:val="normaltextrun"/>
          <w:lang w:val="bg-BG" w:bidi="ar-SA"/>
        </w:rPr>
        <w:t>Определение и значение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Софтуерната мащабируемост представлява способността на една система да се адаптира към нарастващо натоварване и потребителско търсене, без това да води до спад в производителността. Тя се постига чрез увеличаване или оптимизиране на ресурсите и е ключов фактор за дългосрочния успех на дигиталните решения. Целта на мащабируемостта е да осигури надеждност и стабилност при ситуации като внезапно повишаване на трафика, разширяване на обема данни или добавяне на нови функционалности, като по този начин се гарантира конкурентно предимство и удовлетвореност на потребителите.</w:t>
      </w:r>
    </w:p>
    <w:p>
      <w:pPr>
        <w:pStyle w:val="Heading2"/>
        <w:ind w:hanging="0" w:start="0"/>
        <w:rPr/>
      </w:pPr>
      <w:bookmarkStart w:id="19" w:name="__RefHeading___Toc1595_3955437368"/>
      <w:bookmarkStart w:id="20" w:name="_Toc183427338"/>
      <w:bookmarkEnd w:id="19"/>
      <w:r>
        <w:rPr>
          <w:rStyle w:val="normaltextrun"/>
          <w:lang w:val="bg-BG" w:bidi="ar-SA"/>
        </w:rPr>
        <w:t xml:space="preserve">2.2. </w:t>
      </w:r>
      <w:bookmarkEnd w:id="20"/>
      <w:r>
        <w:rPr>
          <w:rStyle w:val="normaltextrun"/>
          <w:lang w:val="bg-BG" w:bidi="ar-SA"/>
        </w:rPr>
        <w:t>Вертикална и хоризонтална мащабируемост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Хоризонтално мащабиране означава подобряване на производителността чрез използване на няколко машини или сървъри. При този подход към системата се добавят нови устройства със сходни характеристики, а натоварването се разпределя между тях. Така се повишава общата производителност и се осигурява непрекъсната работа дори при повреда на отделен сървър. Този метод е често използван при уеб приложения, API и разпределени системи.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Вертикално мащабиране означава подобряване на производителността чрез увеличаване на ресурсите на един сървър. Това може да стане чрез подмяна на хардуера с по-мощен или добавяне на допълнителна памет и процесорна мощност. Този метод е предпочитан при бази данни, сървъри за игри и други системи, които изискват висока изчислителна сила.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Хоризонталното мащабиране добавя нови сървъри и разпределя натоварването между тях, осигурявайки по-голяма гъвкавост и устойчивост. Вертикалното мащабиране увеличава ресурсите на един сървър, което е по-лесно, но има физически ограничения. В практиката двата подхода често се комбинират за постигане на по-добра производителност и надеждност.</w:t>
      </w:r>
      <w:r>
        <w:br w:type="page"/>
      </w:r>
    </w:p>
    <w:p>
      <w:pPr>
        <w:pStyle w:val="Heading2"/>
        <w:spacing w:before="0" w:after="240"/>
        <w:ind w:hanging="0" w:start="0"/>
        <w:rPr/>
      </w:pPr>
      <w:bookmarkStart w:id="21" w:name="__RefHeading___Toc1597_3955437368"/>
      <w:bookmarkStart w:id="22" w:name="_Toc183427339"/>
      <w:bookmarkEnd w:id="21"/>
      <w:r>
        <w:rPr>
          <w:rStyle w:val="normaltextrun"/>
          <w:lang w:val="bg-BG" w:bidi="ar-SA"/>
        </w:rPr>
        <w:t xml:space="preserve">2.3. </w:t>
      </w:r>
      <w:bookmarkEnd w:id="22"/>
      <w:r>
        <w:rPr>
          <w:rStyle w:val="normaltextrun"/>
          <w:lang w:val="bg-BG" w:bidi="ar-SA"/>
        </w:rPr>
        <w:t>Предизвикателства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Мащабирането на софтуер изисква внимателен баланс между производителност, надеждност и разходи. При нарастване на натоварването системата трябва да запази бързината си, без да губи стабилност или да изисква прекомерни ресурси. Това е трудно, тъй като увеличаването на производителността често повишава сложността и разходите.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Надеждността също се поставя на изпитание — повече сървъри и потребители означават по-голям риск от грешки и сривове. За да се избегнат прекъсвания, се използват резервиране, репликация и постоянен мониторинг, което обаче допълнително оскъпява поддръжката.</w:t>
      </w:r>
    </w:p>
    <w:p>
      <w:pPr>
        <w:pStyle w:val="Normal"/>
        <w:spacing w:lineRule="auto" w:line="360" w:before="240" w:after="240"/>
        <w:ind w:firstLine="709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Истинското предизвикателство е в намирането на точния баланс: системата трябва да е достатъчно бърза, устойчива и достъпна, без да се жертва дългосрочната ѝ ефективност. Успешното мащабиране е резултат не от безкрайно добавяне на ресурси, а от умно планиране и оптимизация.</w:t>
      </w:r>
    </w:p>
    <w:p>
      <w:pPr>
        <w:pStyle w:val="Heading2"/>
        <w:ind w:hanging="0" w:start="0"/>
        <w:rPr/>
      </w:pPr>
      <w:bookmarkStart w:id="23" w:name="__RefHeading___Toc1599_3955437368"/>
      <w:bookmarkStart w:id="24" w:name="_Toc183427340"/>
      <w:bookmarkEnd w:id="23"/>
      <w:r>
        <w:rPr>
          <w:rStyle w:val="normaltextrun"/>
          <w:lang w:val="bg-BG" w:bidi="ar-SA"/>
        </w:rPr>
        <w:t xml:space="preserve">2.4. </w:t>
      </w:r>
      <w:bookmarkEnd w:id="24"/>
      <w:r>
        <w:rPr>
          <w:rStyle w:val="normaltextrun"/>
          <w:lang w:val="bg-BG" w:bidi="ar-SA"/>
        </w:rPr>
        <w:t>Принципи и техники за постигане на мащабируемост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Микросървисна архитектура - разделяне на системата на малки, независими услуги, които могат да се мащабират и обновяват поотделно;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Облачни технологии - използване на платформи като AWS, Azure и Google Cloud за динамично разширяване на ресурсите, автоматично балансиране и висока достъпност;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Кеширане - прилагане на решения като Redis или Memcached за временно съхранение на често използвани данни и облекчаване на натоварването върху сървърите;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Оптимизация на бази данни - използване на индекси, нормализация и разпределени бази данни (Cassandra, MongoDB) за по-добра производителност и мащабируемост;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Контейнеризация и оркестрация - внедряване на Docker и Kubernetes за лесно управление на множество среди и автоматично разпределение на натоварването;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Load Balancing (балансиране на натоварването) - насочване на клиентските заявки към няколко сървъра, за да се постигне равномерно натоварване и да се избегнат „тесни места“ в системата;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DevOps практики - интегриране на автоматизирано внедряване, тестване и мониторинг за по-бързо реагиране при растящо натоварване;</w:t>
      </w:r>
    </w:p>
    <w:p>
      <w:pPr>
        <w:pStyle w:val="Normal"/>
        <w:widowControl/>
        <w:numPr>
          <w:ilvl w:val="0"/>
          <w:numId w:val="3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eastAsia="en-US" w:bidi="ar-SA"/>
        </w:rPr>
        <w:t>Мониторинг и автоматично скалиране - следене на производителността в реално време и автоматично добавяне или премахване на ресурси според текущите нужди.</w:t>
      </w:r>
      <w:r>
        <w:br w:type="page"/>
      </w:r>
    </w:p>
    <w:p>
      <w:pPr>
        <w:pStyle w:val="Heading1"/>
        <w:spacing w:before="0" w:after="240"/>
        <w:ind w:hanging="0" w:start="0"/>
        <w:rPr>
          <w:lang w:val="bg-BG" w:bidi="ar-SA"/>
        </w:rPr>
      </w:pPr>
      <w:bookmarkStart w:id="25" w:name="__RefHeading___Toc1603_3955437368"/>
      <w:bookmarkStart w:id="26" w:name="_Toc183427342"/>
      <w:bookmarkEnd w:id="25"/>
      <w:r>
        <w:rPr>
          <w:lang w:val="bg-BG" w:bidi="ar-SA"/>
        </w:rPr>
        <w:t xml:space="preserve">Глава 3 </w:t>
      </w:r>
      <w:bookmarkEnd w:id="26"/>
      <w:r>
        <w:rPr>
          <w:lang w:val="bg-BG" w:bidi="ar-SA"/>
        </w:rPr>
        <w:t>UX/UI изживяване и неговото значение</w:t>
      </w:r>
    </w:p>
    <w:p>
      <w:pPr>
        <w:pStyle w:val="Heading2"/>
        <w:ind w:hanging="0" w:start="0"/>
        <w:rPr/>
      </w:pPr>
      <w:bookmarkStart w:id="27" w:name="__RefHeading___Toc1605_3955437368"/>
      <w:bookmarkStart w:id="28" w:name="_Toc183427343"/>
      <w:bookmarkEnd w:id="27"/>
      <w:r>
        <w:rPr>
          <w:rStyle w:val="normaltextrun"/>
          <w:lang w:val="bg-BG" w:bidi="ar-SA"/>
        </w:rPr>
        <w:t xml:space="preserve">3.1. </w:t>
      </w:r>
      <w:bookmarkEnd w:id="28"/>
      <w:r>
        <w:rPr>
          <w:rStyle w:val="normaltextrun"/>
          <w:lang w:val="bg-BG" w:bidi="ar-SA"/>
        </w:rPr>
        <w:t>Влияние на UX/UI върху софтуерния продукт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UX/UI представлява съчетание между функционалност, естетика и удобство, което определя начина, по който потребителят взаимодейства със софтуера. Един добре изграден интерфейс не само изглежда привлекателно, но и насочва, улеснява и мотивира потребителя да използва продукта ефективно. </w:t>
        <w:br/>
        <w:t>В съвременната среда на динамична конкуренция, качественият UX/UI дизайн е пряко свързан с успеха и пазарната устойчивост на дадено приложение.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Ако интерфейсът е сложен, бавен или неинтуитивен, потребителите бързо губят интерес и се насочват към алтернативи,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и обратно, к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огато дизайнът е ясен, последователен и приятен за работа, това води до по-високо удовлетворение, по-дълга ангажираност и по-голяма лоялност.</w:t>
      </w:r>
    </w:p>
    <w:p>
      <w:pPr>
        <w:pStyle w:val="Heading2"/>
        <w:ind w:hanging="0" w:start="0"/>
        <w:rPr/>
      </w:pPr>
      <w:bookmarkStart w:id="29" w:name="__RefHeading___Toc1607_3955437368"/>
      <w:bookmarkStart w:id="30" w:name="_Toc183427344"/>
      <w:bookmarkEnd w:id="29"/>
      <w:r>
        <w:rPr>
          <w:rStyle w:val="normaltextrun"/>
          <w:lang w:val="bg-BG" w:bidi="ar-SA"/>
        </w:rPr>
        <w:t xml:space="preserve">3.2. </w:t>
      </w:r>
      <w:bookmarkEnd w:id="30"/>
      <w:r>
        <w:rPr>
          <w:rStyle w:val="normaltextrun"/>
          <w:lang w:val="bg-BG" w:bidi="ar-SA"/>
        </w:rPr>
        <w:t>Ролята на UX/UI и изживяването в различни платформи</w:t>
      </w:r>
    </w:p>
    <w:p>
      <w:pPr>
        <w:pStyle w:val="Normal"/>
        <w:bidi w:val="0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UX/UI изживяването варира според платформата, но основният принцип остава един и същ - центриране върху потребителя.</w:t>
      </w:r>
    </w:p>
    <w:p>
      <w:pPr>
        <w:pStyle w:val="Normal"/>
        <w:widowControl/>
        <w:numPr>
          <w:ilvl w:val="0"/>
          <w:numId w:val="4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Мобилни приложения - фокус върху компактност, яснота и бърз достъп до функционалностите. Малкият екран изисква минимализъм и оптимизирани навигационни модели;</w:t>
      </w:r>
    </w:p>
    <w:p>
      <w:pPr>
        <w:pStyle w:val="Normal"/>
        <w:widowControl/>
        <w:numPr>
          <w:ilvl w:val="0"/>
          <w:numId w:val="4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Уеб приложения -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в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ажно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е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 responsive design (адаптивно оформление), което гарантира правилно изобразяване на съдържанието на различни устройства и резолюции. Навигацията трябва да бъде предвидима и последователна;</w:t>
      </w:r>
    </w:p>
    <w:p>
      <w:pPr>
        <w:pStyle w:val="Normal"/>
        <w:widowControl/>
        <w:numPr>
          <w:ilvl w:val="0"/>
          <w:numId w:val="4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Десктоп софтуер - акцентира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се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върху по-сложни интерфейси, позволяващи голям обем от данни и функционалности. Все пак интуитивността и логичната структура остават задължителни.</w:t>
      </w:r>
    </w:p>
    <w:p>
      <w:pPr>
        <w:pStyle w:val="Normal"/>
        <w:widowControl/>
        <w:suppressAutoHyphens w:val="true"/>
        <w:overflowPunct w:val="true"/>
        <w:bidi w:val="0"/>
        <w:spacing w:lineRule="auto" w:line="360" w:before="240" w:after="240"/>
        <w:ind w:firstLine="72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Във всички случаи, целта е хармония между функционалността и емоционалното възприятие на потребителя. Доброто изживяване изгражда доверие и превръща продукта в част от ежедневието на клиента.</w:t>
      </w:r>
    </w:p>
    <w:p>
      <w:pPr>
        <w:pStyle w:val="Heading2"/>
        <w:ind w:hanging="0" w:start="0"/>
        <w:rPr/>
      </w:pPr>
      <w:bookmarkStart w:id="31" w:name="__RefHeading___Toc1609_3955437368"/>
      <w:bookmarkStart w:id="32" w:name="_Toc183427345"/>
      <w:bookmarkEnd w:id="31"/>
      <w:r>
        <w:rPr>
          <w:rStyle w:val="normaltextrun"/>
          <w:lang w:val="bg-BG" w:bidi="ar-SA"/>
        </w:rPr>
        <w:t xml:space="preserve">3.3. </w:t>
      </w:r>
      <w:bookmarkEnd w:id="32"/>
      <w:r>
        <w:rPr>
          <w:rStyle w:val="normaltextrun"/>
          <w:lang w:val="bg-BG" w:bidi="ar-SA"/>
        </w:rPr>
        <w:t>Ключови принципи на добрия UX/UI дизайн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Простота - минималистичният дизайн премахва излишните елементи и позволява на потребителя да се фокусира върху задачата;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Интуитивност - интерфейсът трябва да се разбира без нужда от обяснение. Елементите трябва да се държат така, както потребителят очаква;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Адаптивност - дизайнът трябва да реагира адекватно на различни размери на екрана и начини на взаимодействие (докосване, клавиатура, мишка);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Достъпност - важно е приложението да бъде използваемо от хора с различни способности, като се спазват стандарти като WCAG (Web Content Accessibility Guidelines)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и ARIA (Accessible Rich Internet Applications);</w:t>
      </w:r>
    </w:p>
    <w:p>
      <w:pPr>
        <w:pStyle w:val="Normal"/>
        <w:widowControl/>
        <w:numPr>
          <w:ilvl w:val="0"/>
          <w:numId w:val="5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Последователност - еднакво поведение и визуална логика в цялата система изграждат увереност у потребителя.</w:t>
      </w:r>
    </w:p>
    <w:p>
      <w:pPr>
        <w:pStyle w:val="Normal"/>
        <w:spacing w:lineRule="auto" w:line="360" w:before="240" w:after="240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</w:r>
      <w:r>
        <w:br w:type="page"/>
      </w:r>
    </w:p>
    <w:p>
      <w:pPr>
        <w:pStyle w:val="Heading1"/>
        <w:spacing w:before="0" w:after="240"/>
        <w:ind w:hanging="0" w:start="0"/>
        <w:rPr>
          <w:lang w:val="bg-BG" w:bidi="ar-SA"/>
        </w:rPr>
      </w:pPr>
      <w:bookmarkStart w:id="33" w:name="__RefHeading___Toc1615_3955437368"/>
      <w:bookmarkStart w:id="34" w:name="_Toc183427348"/>
      <w:bookmarkEnd w:id="33"/>
      <w:r>
        <w:rPr>
          <w:lang w:val="bg-BG" w:bidi="ar-SA"/>
        </w:rPr>
        <w:t xml:space="preserve">Глава 4 </w:t>
      </w:r>
      <w:bookmarkEnd w:id="34"/>
      <w:r>
        <w:rPr>
          <w:lang w:val="bg-BG" w:bidi="ar-SA"/>
        </w:rPr>
        <w:t>Взаимодействие между киберсигурност, мащабируемост и UX/UI дизайн</w:t>
      </w:r>
    </w:p>
    <w:p>
      <w:pPr>
        <w:pStyle w:val="Heading2"/>
        <w:ind w:hanging="0" w:start="0"/>
        <w:rPr/>
      </w:pPr>
      <w:bookmarkStart w:id="35" w:name="__RefHeading___Toc1617_3955437368"/>
      <w:bookmarkStart w:id="36" w:name="_Toc183427349"/>
      <w:bookmarkEnd w:id="35"/>
      <w:r>
        <w:rPr>
          <w:rStyle w:val="normaltextrun"/>
          <w:lang w:val="bg-BG" w:bidi="ar-SA"/>
        </w:rPr>
        <w:t xml:space="preserve">4.1. </w:t>
      </w:r>
      <w:bookmarkEnd w:id="36"/>
      <w:r>
        <w:rPr>
          <w:rStyle w:val="normaltextrun"/>
          <w:lang w:val="bg-BG" w:bidi="ar-SA"/>
        </w:rPr>
        <w:t>Влияние между сигурността, мащабируемостта и UX/UI дизайна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Киберсигурността, мащабируемостта и UX/UI дизайнът представляват три взаимосвързани стълба на съвременната софтуерна разработка. Макар често да се разглеждат отделно, те се влияят взаимно и изискват балансиран подход. Повишената сигурност например може да наложи по-строга автентикация или многократни проверки, което влияе върху потребителското изживяване. От друга страна, опростеният UX с минимален брой стъпки за достъп може да доведе до уязвимости, ако не са въведени адекватни защитни мерки.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Мащабируемостта също оказва пряко въздействие върху UX/UI – при системи с голям брой потребители интерфейсът трябва да остане лек, бърз и реактивен, независимо от натоварването на сървърите. Същевременно архитектурни решения като микросървиси, кеширане и разпределени бази данни подобряват както производителността, така и устойчивостта срещу атаки чрез изолация на компонентите. От гледна точка на сигурността, добрата мащабируемост улеснява прилагането на Zero Trust архитектура и постоянен мониторинг (Continuous Security Monitoring).</w:t>
      </w:r>
      <w:r>
        <w:br w:type="page"/>
      </w:r>
    </w:p>
    <w:p>
      <w:pPr>
        <w:pStyle w:val="Heading2"/>
        <w:ind w:hanging="0" w:start="0"/>
        <w:rPr/>
      </w:pPr>
      <w:bookmarkStart w:id="37" w:name="__RefHeading___Toc1619_3955437368"/>
      <w:bookmarkStart w:id="38" w:name="_Toc183427350"/>
      <w:bookmarkEnd w:id="37"/>
      <w:r>
        <w:rPr>
          <w:rStyle w:val="normaltextrun"/>
          <w:lang w:val="bg-BG" w:bidi="ar-SA"/>
        </w:rPr>
        <w:t xml:space="preserve">4.2. </w:t>
      </w:r>
      <w:bookmarkEnd w:id="38"/>
      <w:r>
        <w:rPr>
          <w:rStyle w:val="normaltextrun"/>
          <w:lang w:val="bg-BG" w:bidi="ar-SA"/>
        </w:rPr>
        <w:t>Примери за балансиране на трите аспекта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В реални проекти балансът между тези три области се постига чрез интегриране на сигурността и потребителския опит още от фазата на проектиране.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Като н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апример: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Онлайн банкиране - изисква високо ниво на криптиране и многофакторна автентикация, но интерфейсът трябва да остане интуитивен, за да не затруднява клиента;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Облачни приложения като Google Workspace или AWS - комбинират гъвкава хоризонтална мащабируемост с адаптивни UX елементи, които се променят според натоварването и устройството;</w:t>
      </w:r>
    </w:p>
    <w:p>
      <w:pPr>
        <w:pStyle w:val="Normal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Електронна търговия - Amazon използва мащабируема микросървисна архитектура, като всяка услуга (поръчки, плащания, препоръки) има собствени мерки за сигурност и UX оптимизация, осигурявайки едновременно бързина и безопасност.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Тези примери показват, че успешният софтуер изисква не компромис, а хармонизиране между трите фактора: защита на данните, устойчивост при натоварване и удобство за потребителя.</w:t>
      </w:r>
      <w:r>
        <w:br w:type="page"/>
      </w:r>
    </w:p>
    <w:p>
      <w:pPr>
        <w:pStyle w:val="Heading2"/>
        <w:ind w:hanging="0" w:start="0"/>
        <w:rPr/>
      </w:pPr>
      <w:bookmarkStart w:id="39" w:name="__RefHeading___Toc1621_3955437368"/>
      <w:bookmarkStart w:id="40" w:name="_Toc183427351"/>
      <w:bookmarkEnd w:id="39"/>
      <w:r>
        <w:rPr>
          <w:rStyle w:val="normaltextrun"/>
          <w:lang w:val="bg-BG" w:bidi="ar-SA"/>
        </w:rPr>
        <w:t xml:space="preserve">4.3. </w:t>
      </w:r>
      <w:bookmarkEnd w:id="40"/>
      <w:r>
        <w:rPr>
          <w:rStyle w:val="normaltextrun"/>
          <w:lang w:val="bg-BG" w:bidi="ar-SA"/>
        </w:rPr>
        <w:t>Трудности и стратегии за интеграция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Основното предизвикателство при интеграцията на сигурност, мащабируемост и UX/UI е намирането на правилния баланс между сложност и използваемост. Сигурността често изисква допълнителни стъпки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като например MFA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, които могат да влошат UX, докато прекаленото опростяване може да застраши данните на потребителя. Стратегии за ефективна интеграция 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включват</w:t>
      </w:r>
      <w:r>
        <w:rPr>
          <w:rFonts w:cs="Times New Roman" w:ascii="Times New Roman" w:hAnsi="Times New Roman"/>
          <w:sz w:val="24"/>
          <w:szCs w:val="24"/>
          <w:lang w:val="bg-BG" w:bidi="ar-SA"/>
        </w:rPr>
        <w:t>: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Security by Design - сигурността се планира от самото начало, а не се добавя впоследствие;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DevSecOps подход - сигурността се включва в CI/CD процеса заедно с UX тестване и мащабируемостни симулации;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UX-driven Security - интерфейсът води потребителя интуитивно към безопасно поведение;</w:t>
      </w:r>
    </w:p>
    <w:p>
      <w:pPr>
        <w:pStyle w:val="Normal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Cloud-native и контейнеризация - използването на Docker и Kubernetes осигурява мащабируемост и изолиране на процесите, което подобрява и сигурността.</w:t>
      </w:r>
      <w:r>
        <w:br w:type="page"/>
      </w:r>
    </w:p>
    <w:p>
      <w:pPr>
        <w:pStyle w:val="Heading1"/>
        <w:spacing w:before="0" w:after="240"/>
        <w:ind w:hanging="0" w:start="0"/>
        <w:rPr>
          <w:lang w:val="bg-BG" w:bidi="ar-SA"/>
        </w:rPr>
      </w:pPr>
      <w:bookmarkStart w:id="41" w:name="__RefHeading___Toc1627_3955437368"/>
      <w:bookmarkStart w:id="42" w:name="_Toc183427354"/>
      <w:bookmarkEnd w:id="41"/>
      <w:r>
        <w:rPr>
          <w:lang w:val="bg-BG" w:bidi="ar-SA"/>
        </w:rPr>
        <w:t>Заключение</w:t>
      </w:r>
      <w:bookmarkEnd w:id="42"/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Киберсигурността, мащабируемостта и UX/UI дизайнът са три взаимно свързани елемента, от които зависи успехът на всеки софтуерен проект. Сигурността защитава данните и потребителите, мащабируемостта гарантира стабилност при увеличаване на натоварването, а UX/UI дизайнът осигурява лесно и приятно взаимодействие с продукта.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>Истинският напредък се постига, когато тези три аспекта работят заедно. Добре проектираната архитектура трябва да бъде едновременно защитена, гъвкава и удобна. Балансът между тях води до софтуер, който е не само ефективен и безопасен, но и вдъхва доверие у своите потребители.</w:t>
      </w:r>
    </w:p>
    <w:p>
      <w:pPr>
        <w:pStyle w:val="Normal"/>
        <w:spacing w:lineRule="auto" w:line="360" w:before="240" w:after="240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</w:r>
      <w:r>
        <w:br w:type="page"/>
      </w:r>
    </w:p>
    <w:p>
      <w:pPr>
        <w:pStyle w:val="Heading1"/>
        <w:spacing w:lineRule="auto" w:line="360" w:before="0" w:after="120"/>
        <w:ind w:hanging="0" w:start="0"/>
        <w:rPr/>
      </w:pPr>
      <w:bookmarkStart w:id="43" w:name="__RefHeading___Toc1629_3955437368"/>
      <w:bookmarkStart w:id="44" w:name="_Toc183427355"/>
      <w:bookmarkEnd w:id="43"/>
      <w:r>
        <w:rPr>
          <w:rFonts w:cs="Times New Roman"/>
          <w:bCs/>
          <w:szCs w:val="28"/>
          <w:lang w:val="bg-BG" w:bidi="ar-SA"/>
        </w:rPr>
        <w:t>Използвани Източници</w:t>
      </w:r>
      <w:bookmarkEnd w:id="44"/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Българска индустриална асоциация, Киберсигурност за малки и средни предприятия, Достъпено на 7 Октомври 2025,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https://www.bia-bg.com/uploads/files/files/Cyber.pdf</w:t>
        </w:r>
      </w:hyperlink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Министерство на транспорта, информационните технологии и съобщенията, Наръчник по киберсигурност, Достъпено на 7 Октомври 2025, </w:t>
      </w: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https://www.mtc.government.bg/upload/docs/2015-11/MTITC_D4_NarachnikKiberSigurnost_n.pdf</w:t>
        </w:r>
      </w:hyperlink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УниБИТ, „Стандарти за киберсигурност“, Достъпено на 7 Октомври 2025, </w:t>
      </w:r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https://buditeli.unibit.bg/images/proceedings/2023/v.angelova.pdf</w:t>
        </w:r>
      </w:hyperlink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Списание Национална сигурност, „Киберсигурност“, Достъпено на 7 Октомври 2025, </w:t>
      </w: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https://nacionalna-sigurnost.bg/?download_id=3001&amp;sdm_process_download=1</w:t>
        </w:r>
      </w:hyperlink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Digitalk, „Сигурността трябва да е част от базовия дизайн на ИТ“, Достъпено на 7 Октомври 2025, </w:t>
      </w:r>
      <w:hyperlink r:id="rId7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https://digitalk.bg/security/2021/04/13/4197694_sigurnostta_triabva_da_e_chast_ot_bazoviia_dizain_na/</w:t>
        </w:r>
      </w:hyperlink>
    </w:p>
    <w:p>
      <w:pPr>
        <w:pStyle w:val="FootnoteText"/>
        <w:widowControl/>
        <w:numPr>
          <w:ilvl w:val="0"/>
          <w:numId w:val="8"/>
        </w:numPr>
        <w:suppressAutoHyphens w:val="true"/>
        <w:overflowPunct w:val="true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  <w:lang w:val="bg-BG" w:bidi="ar-SA"/>
        </w:rPr>
      </w:pPr>
      <w:r>
        <w:rPr>
          <w:rFonts w:cs="Times New Roman" w:ascii="Times New Roman" w:hAnsi="Times New Roman"/>
          <w:sz w:val="24"/>
          <w:szCs w:val="24"/>
          <w:lang w:val="bg-BG" w:bidi="ar-SA"/>
        </w:rPr>
        <w:t xml:space="preserve">Digitalk, „Професията UX дизайнер – роля, умения и пазар“, Достъпено на 7 Октомври 2025, </w:t>
      </w: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  <w:lang w:val="bg-BG" w:bidi="ar-SA"/>
          </w:rPr>
          <w:t>https://digitalk.bg/career/2022/06/20/4359935_profesiiata_ux_dizainer_rolia_umeniia_i_pazar/</w:t>
        </w:r>
      </w:hyperlink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985" w:right="1418" w:gutter="0" w:header="0" w:top="1440" w:footer="709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1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240"/>
      <w:jc w:val="center"/>
      <w:outlineLvl w:val="0"/>
    </w:pPr>
    <w:rPr>
      <w:rFonts w:ascii="Times New Roman" w:hAnsi="Times New Roman" w:eastAsia="Calibri" w:cs="DejaVu Sans"/>
      <w:b/>
      <w:caps/>
      <w:sz w:val="28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360" w:before="240" w:after="240"/>
      <w:jc w:val="both"/>
      <w:outlineLvl w:val="1"/>
    </w:pPr>
    <w:rPr>
      <w:rFonts w:ascii="Times New Roman" w:hAnsi="Times New Roman" w:eastAsia="Calibri" w:cs="DejaVu Sans"/>
      <w:b/>
      <w:sz w:val="28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Горен колонтитул Знак"/>
    <w:basedOn w:val="DefaultParagraphFont"/>
    <w:link w:val="Header"/>
    <w:qFormat/>
    <w:rPr/>
  </w:style>
  <w:style w:type="character" w:styleId="Style13">
    <w:name w:val="Долен колонтитул Знак"/>
    <w:basedOn w:val="DefaultParagraphFont"/>
    <w:link w:val="Footer"/>
    <w:qFormat/>
    <w:rPr/>
  </w:style>
  <w:style w:type="character" w:styleId="1">
    <w:name w:val="Заглавие 1 Знак"/>
    <w:basedOn w:val="DefaultParagraphFont"/>
    <w:link w:val="Heading1"/>
    <w:qFormat/>
    <w:rPr>
      <w:rFonts w:ascii="Times New Roman" w:hAnsi="Times New Roman" w:eastAsia="Calibri" w:cs="DejaVu Sans"/>
      <w:b/>
      <w:caps/>
      <w:sz w:val="28"/>
      <w:szCs w:val="32"/>
    </w:rPr>
  </w:style>
  <w:style w:type="character" w:styleId="2">
    <w:name w:val="Заглавие 2 Знак"/>
    <w:basedOn w:val="DefaultParagraphFont"/>
    <w:link w:val="Heading2"/>
    <w:qFormat/>
    <w:rPr>
      <w:rFonts w:ascii="Times New Roman" w:hAnsi="Times New Roman" w:eastAsia="Calibri" w:cs="DejaVu Sans"/>
      <w:b/>
      <w:sz w:val="28"/>
      <w:szCs w:val="26"/>
    </w:rPr>
  </w:style>
  <w:style w:type="character" w:styleId="normaltextrun">
    <w:name w:val="normaltextrun"/>
    <w:basedOn w:val="DefaultParagraphFont"/>
    <w:qFormat/>
    <w:rPr/>
  </w:style>
  <w:style w:type="character" w:styleId="eop">
    <w:name w:val="eop"/>
    <w:basedOn w:val="DefaultParagraph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spellingerror">
    <w:name w:val="spellingerror"/>
    <w:basedOn w:val="DefaultParagraphFont"/>
    <w:qFormat/>
    <w:rPr/>
  </w:style>
  <w:style w:type="character" w:styleId="ImageChar">
    <w:name w:val="Image Char"/>
    <w:basedOn w:val="DefaultParagraphFont"/>
    <w:link w:val="Image"/>
    <w:qFormat/>
    <w:rPr>
      <w:rFonts w:ascii="Times New Roman" w:hAnsi="Times New Roman" w:cs="Times New Roman"/>
      <w:b/>
      <w:sz w:val="24"/>
      <w:szCs w:val="24"/>
      <w:lang w:val="en-US"/>
    </w:rPr>
  </w:style>
  <w:style w:type="character" w:styleId="Style14">
    <w:name w:val="Текст под линия Знак"/>
    <w:basedOn w:val="DefaultParagraphFont"/>
    <w:link w:val="FootnoteText"/>
    <w:qFormat/>
    <w:rPr>
      <w:sz w:val="20"/>
      <w:szCs w:val="20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>
    <w:name w:val="Текст на бележка в края Знак"/>
    <w:basedOn w:val="DefaultParagraphFont"/>
    <w:link w:val="EndnoteText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sChar">
    <w:name w:val="Footnotes Char"/>
    <w:basedOn w:val="Style14"/>
    <w:link w:val="Footnotes"/>
    <w:qFormat/>
    <w:rPr>
      <w:rFonts w:ascii="Times New Roman" w:hAnsi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qFormat/>
    <w:pPr>
      <w:spacing w:lineRule="auto" w:line="240" w:before="0" w:after="240"/>
      <w:jc w:val="center"/>
    </w:pPr>
    <w:rPr>
      <w:rFonts w:ascii="Times New Roman" w:hAnsi="Times New Roman"/>
      <w:b/>
      <w:iCs/>
      <w:sz w:val="24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bg-BG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>
      <w:rFonts w:ascii="Times New Roman" w:hAnsi="Times New Roman"/>
      <w:b/>
      <w:caps/>
      <w:sz w:val="24"/>
    </w:rPr>
  </w:style>
  <w:style w:type="paragraph" w:styleId="TOC2">
    <w:name w:val="toc 2"/>
    <w:basedOn w:val="Normal"/>
    <w:next w:val="Normal"/>
    <w:autoRedefine/>
    <w:pPr>
      <w:spacing w:before="0" w:after="100"/>
      <w:ind w:start="220"/>
    </w:pPr>
    <w:rPr>
      <w:rFonts w:ascii="Times New Roman" w:hAnsi="Times New Roman"/>
      <w:b/>
      <w:sz w:val="24"/>
    </w:rPr>
  </w:style>
  <w:style w:type="paragraph" w:styleId="paragraph">
    <w:name w:val="paragrap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bg-BG" w:eastAsia="en-US" w:bidi="ar-SA"/>
    </w:rPr>
  </w:style>
  <w:style w:type="paragraph" w:styleId="Image">
    <w:name w:val="Image"/>
    <w:basedOn w:val="Normal"/>
    <w:link w:val="ImageChar"/>
    <w:qFormat/>
    <w:pPr>
      <w:spacing w:lineRule="auto" w:line="240" w:before="240" w:after="240"/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FootnoteText">
    <w:name w:val="footnote text"/>
    <w:basedOn w:val="Normal"/>
    <w:link w:val="Style14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Style15"/>
    <w:pPr>
      <w:spacing w:lineRule="auto" w:line="240" w:before="0" w:after="0"/>
    </w:pPr>
    <w:rPr>
      <w:sz w:val="20"/>
      <w:szCs w:val="20"/>
    </w:rPr>
  </w:style>
  <w:style w:type="paragraph" w:styleId="Footnotes">
    <w:name w:val="Footnotes"/>
    <w:basedOn w:val="FootnoteText"/>
    <w:link w:val="FootnotesChar"/>
    <w:qFormat/>
    <w:pPr>
      <w:jc w:val="both"/>
    </w:pPr>
    <w:rPr>
      <w:rFonts w:ascii="Times New Roman" w:hAnsi="Times New Roman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bia-bg.com/uploads/files/files/Cyber.pdf" TargetMode="External"/><Relationship Id="rId4" Type="http://schemas.openxmlformats.org/officeDocument/2006/relationships/hyperlink" Target="https://www.mtc.government.bg/upload/docs/2015-11/MTITC_D4_NarachnikKiberSigurnost_n.pdf" TargetMode="External"/><Relationship Id="rId5" Type="http://schemas.openxmlformats.org/officeDocument/2006/relationships/hyperlink" Target="https://buditeli.unibit.bg/images/proceedings/2023/v.angelova.pdf" TargetMode="External"/><Relationship Id="rId6" Type="http://schemas.openxmlformats.org/officeDocument/2006/relationships/hyperlink" Target="https://nacionalna-sigurnost.bg/?download_id=3001&amp;sdm_process_download=1" TargetMode="External"/><Relationship Id="rId7" Type="http://schemas.openxmlformats.org/officeDocument/2006/relationships/hyperlink" Target="https://digitalk.bg/security/2021/04/13/4197694_sigurnostta_triabva_da_e_chast_ot_bazoviia_dizain_na/" TargetMode="External"/><Relationship Id="rId8" Type="http://schemas.openxmlformats.org/officeDocument/2006/relationships/hyperlink" Target="https://digitalk.bg/career/2022/06/20/4359935_profesiiata_ux_dizainer_rolia_umeniia_i_pazar/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Application>LibreOffice/25.8.1.1$Linux_X86_64 LibreOffice_project/54047653041915e595ad4e45cccea684809c77b5</Application>
  <AppVersion>15.0000</AppVersion>
  <Pages>15</Pages>
  <Words>2071</Words>
  <Characters>13428</Characters>
  <CharactersWithSpaces>15346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2024-11-26T09:41:00Z</dcterms:created>
  <dc:creator>Мариана Христозкова</dc:creator>
  <dc:description/>
  <dc:language>en-US</dc:language>
  <cp:lastModifiedBy/>
  <dcterms:modified xsi:type="dcterms:W3CDTF">2025-10-07T14:49:19Z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0x0101003DF83B7CC62A4A47BE4FC50A52646E97</vt:lpwstr>
  </property>
</Properties>
</file>