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2645" w14:textId="77777777" w:rsidR="00190529" w:rsidRDefault="00000000">
      <w:pPr>
        <w:jc w:val="center"/>
      </w:pPr>
      <w:r>
        <w:rPr>
          <w:b/>
          <w:color w:val="2E75B6"/>
          <w:sz w:val="56"/>
        </w:rPr>
        <w:t>Privacy Policy Comparative Analysis</w:t>
      </w:r>
      <w:r>
        <w:rPr>
          <w:b/>
          <w:color w:val="2E75B6"/>
          <w:sz w:val="56"/>
        </w:rPr>
        <w:br/>
      </w:r>
      <w:r>
        <w:rPr>
          <w:b/>
          <w:color w:val="2E75B6"/>
          <w:sz w:val="56"/>
        </w:rPr>
        <w:br/>
      </w:r>
    </w:p>
    <w:p w14:paraId="0FEBE0F0" w14:textId="77777777" w:rsidR="00190529" w:rsidRDefault="00000000">
      <w:pPr>
        <w:jc w:val="center"/>
      </w:pPr>
      <w:r>
        <w:rPr>
          <w:sz w:val="40"/>
        </w:rPr>
        <w:t>Findings and Recommendations</w:t>
      </w:r>
      <w:r>
        <w:rPr>
          <w:sz w:val="40"/>
        </w:rPr>
        <w:br/>
      </w:r>
    </w:p>
    <w:p w14:paraId="67210FAE" w14:textId="77777777" w:rsidR="00190529" w:rsidRDefault="00000000">
      <w:pPr>
        <w:jc w:val="center"/>
      </w:pPr>
      <w:r>
        <w:rPr>
          <w:i/>
          <w:sz w:val="28"/>
        </w:rPr>
        <w:t>DATA6550 Digital Privacy Agreement Audit</w:t>
      </w:r>
      <w:r>
        <w:rPr>
          <w:i/>
          <w:sz w:val="28"/>
        </w:rPr>
        <w:br/>
      </w:r>
    </w:p>
    <w:p w14:paraId="7A6384C3" w14:textId="2FB6D99D" w:rsidR="00190529" w:rsidRPr="00E64A32" w:rsidRDefault="00E64A32">
      <w:pPr>
        <w:jc w:val="center"/>
        <w:rPr>
          <w:b/>
          <w:bCs/>
        </w:rPr>
      </w:pPr>
      <w:r w:rsidRPr="00E64A32">
        <w:rPr>
          <w:b/>
          <w:bCs/>
          <w:sz w:val="24"/>
        </w:rPr>
        <w:t>Group - 2</w:t>
      </w:r>
      <w:r w:rsidR="00000000" w:rsidRPr="00E64A32">
        <w:rPr>
          <w:b/>
          <w:bCs/>
          <w:sz w:val="24"/>
        </w:rPr>
        <w:br/>
      </w:r>
      <w:r w:rsidR="00000000" w:rsidRPr="00E64A32">
        <w:rPr>
          <w:b/>
          <w:bCs/>
          <w:sz w:val="24"/>
        </w:rPr>
        <w:br/>
      </w:r>
    </w:p>
    <w:p w14:paraId="56E92506" w14:textId="77777777" w:rsidR="00190529" w:rsidRDefault="00000000">
      <w:pPr>
        <w:jc w:val="center"/>
      </w:pPr>
      <w:r>
        <w:rPr>
          <w:i/>
          <w:sz w:val="24"/>
        </w:rPr>
        <w:t>April 2026</w:t>
      </w:r>
    </w:p>
    <w:p w14:paraId="493E3E81" w14:textId="77777777" w:rsidR="00190529" w:rsidRDefault="00000000">
      <w:r>
        <w:br w:type="page"/>
      </w:r>
    </w:p>
    <w:p w14:paraId="73F0C735" w14:textId="77777777" w:rsidR="00190529" w:rsidRDefault="00000000">
      <w:pPr>
        <w:pStyle w:val="Heading1"/>
      </w:pPr>
      <w:r>
        <w:lastRenderedPageBreak/>
        <w:t>Executive Summary</w:t>
      </w:r>
    </w:p>
    <w:p w14:paraId="512FE5FA" w14:textId="77777777" w:rsidR="00E64A32" w:rsidRDefault="00E64A32">
      <w:pPr>
        <w:pStyle w:val="Heading2"/>
        <w:rPr>
          <w:rFonts w:ascii="Arial" w:eastAsiaTheme="minorEastAsia" w:hAnsi="Arial" w:cstheme="minorBidi"/>
          <w:b w:val="0"/>
          <w:bCs w:val="0"/>
          <w:color w:val="auto"/>
          <w:sz w:val="22"/>
          <w:szCs w:val="22"/>
        </w:rPr>
      </w:pPr>
      <w:r w:rsidRPr="00E64A32">
        <w:rPr>
          <w:rFonts w:ascii="Arial" w:eastAsiaTheme="minorEastAsia" w:hAnsi="Arial" w:cstheme="minorBidi"/>
          <w:b w:val="0"/>
          <w:bCs w:val="0"/>
          <w:color w:val="auto"/>
          <w:sz w:val="22"/>
          <w:szCs w:val="22"/>
        </w:rPr>
        <w:t>The research study analyzes privacy policies of 12 major digital services which include social media and communication and entertainment and financial and cloud storage and professional networking platforms. The study examined Gmail and Instagram and LinkedIn and Amazon and Discord and Spotify and TikTok and Venmo and Google Pay and Google Drive and Slack and Airbnb.</w:t>
      </w:r>
    </w:p>
    <w:p w14:paraId="4F777D45" w14:textId="540EA72A" w:rsidR="00190529" w:rsidRDefault="00000000">
      <w:pPr>
        <w:pStyle w:val="Heading2"/>
      </w:pPr>
      <w:r>
        <w:t>Key Findings</w:t>
      </w:r>
    </w:p>
    <w:p w14:paraId="360DA525" w14:textId="6EA1E264" w:rsidR="00190529" w:rsidRDefault="00E64A32">
      <w:pPr>
        <w:pStyle w:val="ListBullet"/>
      </w:pPr>
      <w:r w:rsidRPr="00E64A32">
        <w:t>Google Drive reported the highest overall score in compliance, with Google Pay and Airbnb sharing second place.</w:t>
      </w:r>
      <w:r w:rsidR="00000000">
        <w:t>)</w:t>
      </w:r>
    </w:p>
    <w:p w14:paraId="3AA4D95D" w14:textId="77777777" w:rsidR="00E64A32" w:rsidRPr="00E64A32" w:rsidRDefault="00E64A32">
      <w:pPr>
        <w:pStyle w:val="ListBullet"/>
      </w:pPr>
      <w:r w:rsidRPr="00E64A32">
        <w:t>Venmo scored lowest with a 55.0% privacy rating which made it the most dangerous privacy service because its default public transactions exposed user data even after users ended their accounts.</w:t>
      </w:r>
    </w:p>
    <w:p w14:paraId="544E14E5" w14:textId="77777777" w:rsidR="00E64A32" w:rsidRPr="00E64A32" w:rsidRDefault="00E64A32">
      <w:pPr>
        <w:pStyle w:val="ListBullet"/>
      </w:pPr>
      <w:r w:rsidRPr="00E64A32">
        <w:t>None of the 12 service providers agreed to the breach notification requirement within 72 hours of the GDPR.</w:t>
      </w:r>
    </w:p>
    <w:p w14:paraId="5EA402E6" w14:textId="77777777" w:rsidR="00E64A32" w:rsidRPr="00E64A32" w:rsidRDefault="00E64A32">
      <w:pPr>
        <w:pStyle w:val="ListBullet"/>
      </w:pPr>
      <w:r w:rsidRPr="00E64A32">
        <w:t xml:space="preserve">Compared to users from the EU, users from the US are consistently shown as given weaker AI data protections had across the platforms of Google, Meta (data only), LinkedIn, Spotify, and </w:t>
      </w:r>
      <w:proofErr w:type="spellStart"/>
      <w:r w:rsidRPr="00E64A32">
        <w:t>TikTok.</w:t>
      </w:r>
    </w:p>
    <w:p w14:paraId="66599A74" w14:textId="77777777" w:rsidR="00E64A32" w:rsidRPr="00E64A32" w:rsidRDefault="00E64A32" w:rsidP="00E64A32">
      <w:pPr>
        <w:pStyle w:val="ListBullet"/>
      </w:pPr>
      <w:proofErr w:type="spellEnd"/>
      <w:r w:rsidRPr="00E64A32">
        <w:t xml:space="preserve">Spotify broadly extends full CCPA rights to all US residents regardless of individual </w:t>
      </w:r>
      <w:proofErr w:type="spellStart"/>
      <w:r w:rsidRPr="00E64A32">
        <w:t>states.</w:t>
      </w:r>
    </w:p>
    <w:p w14:paraId="45F081C9" w14:textId="77777777" w:rsidR="00E64A32" w:rsidRPr="00E64A32" w:rsidRDefault="00E64A32" w:rsidP="00E64A32">
      <w:pPr>
        <w:pStyle w:val="ListBullet"/>
      </w:pPr>
      <w:proofErr w:type="spellEnd"/>
      <w:r w:rsidRPr="00E64A32">
        <w:t>TikTok's February 2026 policy update reversed explicit prior commitments which included new features for GPS data collection and AI data harvesting and cross-platform advertising capabilities.</w:t>
      </w:r>
    </w:p>
    <w:p w14:paraId="74D180A0" w14:textId="526348E6" w:rsidR="00E64A32" w:rsidRDefault="00E64A32" w:rsidP="00E64A32">
      <w:pPr>
        <w:pStyle w:val="Heading1"/>
      </w:pPr>
      <w:r>
        <w:t>1. Common Elements Analysis</w:t>
      </w:r>
    </w:p>
    <w:p w14:paraId="42DEC170" w14:textId="20C65132" w:rsidR="00E64A32" w:rsidRPr="00E64A32" w:rsidRDefault="00E64A32" w:rsidP="00E64A32">
      <w:pPr>
        <w:pStyle w:val="Heading2"/>
        <w:rPr>
          <w:rFonts w:ascii="Arial" w:eastAsiaTheme="minorEastAsia" w:hAnsi="Arial" w:cstheme="minorBidi"/>
          <w:b w:val="0"/>
          <w:bCs w:val="0"/>
          <w:color w:val="auto"/>
          <w:sz w:val="22"/>
          <w:szCs w:val="22"/>
        </w:rPr>
      </w:pPr>
      <w:r w:rsidRPr="00E64A32">
        <w:rPr>
          <w:rFonts w:ascii="Arial" w:eastAsiaTheme="minorEastAsia" w:hAnsi="Arial" w:cstheme="minorBidi"/>
          <w:b w:val="0"/>
          <w:bCs w:val="0"/>
          <w:color w:val="auto"/>
          <w:sz w:val="22"/>
          <w:szCs w:val="22"/>
        </w:rPr>
        <w:t>In 12 different domains, privacy policies have been</w:t>
      </w:r>
      <w:r>
        <w:rPr>
          <w:rFonts w:ascii="Arial" w:eastAsiaTheme="minorEastAsia" w:hAnsi="Arial" w:cstheme="minorBidi"/>
          <w:b w:val="0"/>
          <w:bCs w:val="0"/>
          <w:color w:val="auto"/>
          <w:sz w:val="22"/>
          <w:szCs w:val="22"/>
        </w:rPr>
        <w:t xml:space="preserve"> </w:t>
      </w:r>
      <w:r w:rsidRPr="00E64A32">
        <w:rPr>
          <w:rFonts w:ascii="Arial" w:eastAsiaTheme="minorEastAsia" w:hAnsi="Arial" w:cstheme="minorBidi"/>
          <w:b w:val="0"/>
          <w:bCs w:val="0"/>
          <w:color w:val="auto"/>
          <w:sz w:val="22"/>
          <w:szCs w:val="22"/>
        </w:rPr>
        <w:t>detailed.</w:t>
      </w:r>
    </w:p>
    <w:p w14:paraId="552C6218" w14:textId="3232F477" w:rsidR="00E64A32" w:rsidRDefault="00E64A32" w:rsidP="0030607C">
      <w:pPr>
        <w:pStyle w:val="Heading2"/>
        <w:numPr>
          <w:ilvl w:val="1"/>
          <w:numId w:val="12"/>
        </w:numPr>
      </w:pPr>
      <w:r>
        <w:t>Universal Data Collection Practices</w:t>
      </w:r>
    </w:p>
    <w:p w14:paraId="6562A8F5" w14:textId="77777777" w:rsidR="0030607C" w:rsidRDefault="00E64A32" w:rsidP="0030607C">
      <w:r>
        <w:t>All services collect the following baseline categories:</w:t>
      </w:r>
    </w:p>
    <w:p w14:paraId="0774DF55" w14:textId="77777777" w:rsidR="0030607C" w:rsidRPr="0030607C" w:rsidRDefault="0030607C" w:rsidP="00E64A32">
      <w:pPr>
        <w:pStyle w:val="ListParagraph"/>
        <w:numPr>
          <w:ilvl w:val="0"/>
          <w:numId w:val="13"/>
        </w:numPr>
      </w:pPr>
      <w:r w:rsidRPr="0030607C">
        <w:t>Account Identification: Name, email address, date of birth, password</w:t>
      </w:r>
    </w:p>
    <w:p w14:paraId="0020DB6F" w14:textId="77777777" w:rsidR="0030607C" w:rsidRDefault="0030607C" w:rsidP="00E64A32">
      <w:pPr>
        <w:pStyle w:val="ListParagraph"/>
        <w:numPr>
          <w:ilvl w:val="0"/>
          <w:numId w:val="13"/>
        </w:numPr>
      </w:pPr>
      <w:r w:rsidRPr="0030607C">
        <w:t>Technical Data: IP address, device type, operating system, browser information</w:t>
      </w:r>
    </w:p>
    <w:p w14:paraId="131BB3BB" w14:textId="77777777" w:rsidR="0030607C" w:rsidRDefault="0030607C" w:rsidP="00E64A32">
      <w:pPr>
        <w:pStyle w:val="ListParagraph"/>
        <w:numPr>
          <w:ilvl w:val="0"/>
          <w:numId w:val="13"/>
        </w:numPr>
      </w:pPr>
      <w:r w:rsidRPr="0030607C">
        <w:t>Usage Data: Features accessed, content viewed, time spent, interaction patterns</w:t>
      </w:r>
    </w:p>
    <w:p w14:paraId="3B284176" w14:textId="77777777" w:rsidR="0030607C" w:rsidRDefault="0030607C" w:rsidP="00E64A32">
      <w:pPr>
        <w:pStyle w:val="ListParagraph"/>
        <w:numPr>
          <w:ilvl w:val="0"/>
          <w:numId w:val="13"/>
        </w:numPr>
      </w:pPr>
      <w:r w:rsidRPr="0030607C">
        <w:t>Approximate Location: Inferred from IP address, language settings, or payment currency</w:t>
      </w:r>
    </w:p>
    <w:p w14:paraId="195C4F84" w14:textId="1CE93F25" w:rsidR="0030607C" w:rsidRPr="0030607C" w:rsidRDefault="0030607C" w:rsidP="00E64A32">
      <w:pPr>
        <w:pStyle w:val="ListParagraph"/>
        <w:numPr>
          <w:ilvl w:val="0"/>
          <w:numId w:val="13"/>
        </w:numPr>
      </w:pPr>
      <w:r w:rsidRPr="0030607C">
        <w:t>User-Generated Content: Posts, messages, uploads, comments, profile information</w:t>
      </w:r>
    </w:p>
    <w:p w14:paraId="504DC672" w14:textId="617D275F" w:rsidR="00E64A32" w:rsidRDefault="00E64A32" w:rsidP="00E64A32">
      <w:pPr>
        <w:pStyle w:val="Heading2"/>
      </w:pPr>
      <w:r>
        <w:t>1.2 Standard Legal Clauses</w:t>
      </w:r>
    </w:p>
    <w:p w14:paraId="71D4ADAD" w14:textId="77777777" w:rsidR="0030607C" w:rsidRPr="0030607C" w:rsidRDefault="0030607C" w:rsidP="0030607C">
      <w:pPr>
        <w:pStyle w:val="ListParagraph"/>
        <w:numPr>
          <w:ilvl w:val="0"/>
          <w:numId w:val="13"/>
        </w:numPr>
      </w:pPr>
      <w:r w:rsidRPr="0030607C">
        <w:t xml:space="preserve">No Sale Disclaimer: 'We do not sell personal information' (CCPA compliance) </w:t>
      </w:r>
    </w:p>
    <w:p w14:paraId="4CBEA09E" w14:textId="77777777" w:rsidR="0030607C" w:rsidRPr="0030607C" w:rsidRDefault="0030607C" w:rsidP="0030607C">
      <w:pPr>
        <w:pStyle w:val="ListParagraph"/>
        <w:numPr>
          <w:ilvl w:val="0"/>
          <w:numId w:val="13"/>
        </w:numPr>
      </w:pPr>
      <w:r w:rsidRPr="0030607C">
        <w:t xml:space="preserve">Law Enforcement Sharing: Data disclosure when legally required </w:t>
      </w:r>
    </w:p>
    <w:p w14:paraId="744D0501" w14:textId="77777777" w:rsidR="0030607C" w:rsidRPr="0030607C" w:rsidRDefault="0030607C" w:rsidP="0030607C">
      <w:pPr>
        <w:pStyle w:val="ListParagraph"/>
        <w:numPr>
          <w:ilvl w:val="0"/>
          <w:numId w:val="13"/>
        </w:numPr>
      </w:pPr>
      <w:r w:rsidRPr="0030607C">
        <w:lastRenderedPageBreak/>
        <w:t xml:space="preserve">Service Provider Disclosure: Sharing with vendors supporting platform operations </w:t>
      </w:r>
    </w:p>
    <w:p w14:paraId="287A6457" w14:textId="77777777" w:rsidR="0030607C" w:rsidRPr="0030607C" w:rsidRDefault="0030607C" w:rsidP="0030607C">
      <w:pPr>
        <w:pStyle w:val="ListParagraph"/>
        <w:numPr>
          <w:ilvl w:val="0"/>
          <w:numId w:val="13"/>
        </w:numPr>
      </w:pPr>
      <w:r w:rsidRPr="0030607C">
        <w:t xml:space="preserve">Age Restrictions: 13+ years in US (COPPA) 16+ in two EU territories (GDPR) </w:t>
      </w:r>
    </w:p>
    <w:p w14:paraId="098034F9" w14:textId="77777777" w:rsidR="0030607C" w:rsidRPr="0030607C" w:rsidRDefault="0030607C" w:rsidP="0030607C">
      <w:pPr>
        <w:pStyle w:val="ListParagraph"/>
        <w:numPr>
          <w:ilvl w:val="0"/>
          <w:numId w:val="13"/>
        </w:numPr>
      </w:pPr>
      <w:r w:rsidRPr="0030607C">
        <w:t>Continued Use = Acceptance: Users who continue to use the service after policy changes will show their agreement.</w:t>
      </w:r>
    </w:p>
    <w:p w14:paraId="1B9632E0" w14:textId="7A682C80" w:rsidR="00E64A32" w:rsidRDefault="00E64A32" w:rsidP="0030607C">
      <w:pPr>
        <w:pStyle w:val="Heading1"/>
      </w:pPr>
      <w:r>
        <w:t>2. Best Practices Identification</w:t>
      </w:r>
    </w:p>
    <w:p w14:paraId="6C2A845A" w14:textId="77777777" w:rsidR="00E64A32" w:rsidRDefault="00E64A32" w:rsidP="00E64A32">
      <w:pPr>
        <w:pStyle w:val="Heading2"/>
      </w:pPr>
      <w:r>
        <w:t>2.1 Spotify: Universal CCPA Rights Extension</w:t>
      </w:r>
    </w:p>
    <w:p w14:paraId="2E206F72" w14:textId="77777777" w:rsidR="0030607C" w:rsidRPr="0030607C" w:rsidRDefault="0030607C" w:rsidP="0030607C">
      <w:r w:rsidRPr="0030607C">
        <w:t>Spotify is the ONLY service analyzed that extends full California Consumer Privacy Act (CCPA) rights to all US residents regardless of state. This includes comprehensive rights to know, delete, opt-out, and data portability for users in states without their own privacy laws.</w:t>
      </w:r>
    </w:p>
    <w:p w14:paraId="2E933EBC" w14:textId="00433A4E" w:rsidR="00E64A32" w:rsidRDefault="00E64A32" w:rsidP="00E64A32">
      <w:pPr>
        <w:pStyle w:val="Heading2"/>
      </w:pPr>
      <w:r>
        <w:t>2.2 Discord and Spotify: Exemplary Update Procedures</w:t>
      </w:r>
    </w:p>
    <w:p w14:paraId="38B9A80C" w14:textId="77777777" w:rsidR="0030607C" w:rsidRPr="0030607C" w:rsidRDefault="0030607C" w:rsidP="00E64A32">
      <w:r w:rsidRPr="0030607C">
        <w:t>Discord needs to provide its users with a 30-day advance notice which announces new updates through detailed public blog posts. The announcement for the September 2025 update took place in August when the complete documentation of changes was made available.</w:t>
      </w:r>
    </w:p>
    <w:p w14:paraId="166A6178" w14:textId="14DB362A" w:rsidR="00E64A32" w:rsidRDefault="00E64A32" w:rsidP="00E64A32">
      <w:r>
        <w:rPr>
          <w:b/>
        </w:rPr>
        <w:t xml:space="preserve">Spotify: </w:t>
      </w:r>
      <w:r>
        <w:t>Sends direct email notifications to all users BEFORE material changes take effect, paired with in-app notifications.</w:t>
      </w:r>
    </w:p>
    <w:p w14:paraId="0A29FF2E" w14:textId="77777777" w:rsidR="00E64A32" w:rsidRDefault="00E64A32" w:rsidP="00E64A32">
      <w:pPr>
        <w:pStyle w:val="Heading2"/>
      </w:pPr>
      <w:r>
        <w:t>2.3 Amazon: Non-Retroactive Weakening Pledge</w:t>
      </w:r>
    </w:p>
    <w:p w14:paraId="73EAA708" w14:textId="6A1F54AB" w:rsidR="0030607C" w:rsidRPr="0030607C" w:rsidRDefault="0030607C" w:rsidP="0030607C">
      <w:pPr>
        <w:shd w:val="clear" w:color="auto" w:fill="FFFFFF"/>
        <w:spacing w:after="0" w:line="240" w:lineRule="auto"/>
      </w:pPr>
      <w:r w:rsidRPr="0030607C">
        <w:t>Amazon explicitly commits that it will never weaken privacy protections for data already collected without obtaining user consent. This is codified as: 'We will not make material changes that weaken privacy protections for your existing personal information without your consent.'</w:t>
      </w:r>
    </w:p>
    <w:p w14:paraId="74F7F6B1" w14:textId="77777777" w:rsidR="00E64A32" w:rsidRDefault="00E64A32" w:rsidP="00E64A32">
      <w:pPr>
        <w:pStyle w:val="Heading1"/>
      </w:pPr>
      <w:r>
        <w:t>3. Worst Practices Identification</w:t>
      </w:r>
    </w:p>
    <w:p w14:paraId="67BFDCC9" w14:textId="77777777" w:rsidR="00E64A32" w:rsidRDefault="00E64A32" w:rsidP="00E64A32">
      <w:pPr>
        <w:pStyle w:val="Heading2"/>
      </w:pPr>
      <w:r>
        <w:t>3.1 Venmo: Public-by-Default Transaction Feed</w:t>
      </w:r>
    </w:p>
    <w:p w14:paraId="4685E7DB" w14:textId="77777777" w:rsidR="00E64A32" w:rsidRDefault="00E64A32" w:rsidP="00E64A32">
      <w:r>
        <w:rPr>
          <w:b/>
          <w:color w:val="C00000"/>
        </w:rPr>
        <w:t>CRITICAL STRUCTURAL PRIVACY FLAW</w:t>
      </w:r>
    </w:p>
    <w:p w14:paraId="1BE428A6" w14:textId="77777777" w:rsidR="0030607C" w:rsidRPr="0030607C" w:rsidRDefault="0030607C" w:rsidP="00E64A32">
      <w:r w:rsidRPr="0030607C">
        <w:t xml:space="preserve">Venmo transactions become Public through default settings which apply when users create their accounts. Users can see transaction amounts and participant details and payment memos because these details are accessible to anyone who uses the internet without needing a Venmo account. A 2018 Mozilla Foundation analysis exposed over 207 million public Venmo transactions which showed users' daily routines and spending habits and personal </w:t>
      </w:r>
      <w:proofErr w:type="spellStart"/>
      <w:r w:rsidRPr="0030607C">
        <w:t>relationships.</w:t>
      </w:r>
    </w:p>
    <w:p w14:paraId="6AA32DD3" w14:textId="28E599E9" w:rsidR="00E64A32" w:rsidRDefault="00E64A32" w:rsidP="0030607C">
      <w:r>
        <w:rPr>
          <w:b/>
        </w:rPr>
        <w:t>Assessmen</w:t>
      </w:r>
      <w:proofErr w:type="spellEnd"/>
      <w:r>
        <w:rPr>
          <w:b/>
        </w:rPr>
        <w:t xml:space="preserve">t: </w:t>
      </w:r>
      <w:r w:rsidR="0030607C" w:rsidRPr="0030607C">
        <w:t xml:space="preserve">This represents the single most harmful privacy practice identified in this entire analysis. The combination of financial data and social connections and public accessibility </w:t>
      </w:r>
      <w:proofErr w:type="gramStart"/>
      <w:r w:rsidR="0030607C" w:rsidRPr="0030607C">
        <w:t>creates</w:t>
      </w:r>
      <w:proofErr w:type="gramEnd"/>
      <w:r w:rsidR="0030607C" w:rsidRPr="0030607C">
        <w:t xml:space="preserve"> exceptional surveillance abilities.</w:t>
      </w:r>
      <w:r w:rsidR="00000000">
        <w:br w:type="page"/>
      </w:r>
      <w:r w:rsidRPr="0030607C">
        <w:rPr>
          <w:rFonts w:asciiTheme="majorHAnsi" w:eastAsiaTheme="majorEastAsia" w:hAnsiTheme="majorHAnsi" w:cstheme="majorBidi"/>
          <w:b/>
          <w:bCs/>
          <w:color w:val="4F81BD" w:themeColor="accent1"/>
          <w:sz w:val="26"/>
          <w:szCs w:val="26"/>
        </w:rPr>
        <w:lastRenderedPageBreak/>
        <w:t>3.2 TikTok: 2026 Policy Reversals</w:t>
      </w:r>
    </w:p>
    <w:p w14:paraId="1020BF28" w14:textId="080405C9" w:rsidR="0030607C" w:rsidRPr="0030607C" w:rsidRDefault="0030607C" w:rsidP="0030607C">
      <w:pPr>
        <w:pStyle w:val="ListBullet"/>
        <w:numPr>
          <w:ilvl w:val="0"/>
          <w:numId w:val="0"/>
        </w:numPr>
        <w:ind w:left="360" w:hanging="360"/>
      </w:pPr>
      <w:r w:rsidRPr="0030607C">
        <w:t xml:space="preserve">The privacy policy update dated February 5, </w:t>
      </w:r>
      <w:proofErr w:type="gramStart"/>
      <w:r w:rsidRPr="0030607C">
        <w:t>2026</w:t>
      </w:r>
      <w:proofErr w:type="gramEnd"/>
      <w:r w:rsidRPr="0030607C">
        <w:t xml:space="preserve"> </w:t>
      </w:r>
      <w:proofErr w:type="gramStart"/>
      <w:r w:rsidRPr="0030607C">
        <w:t>actually overlooked</w:t>
      </w:r>
      <w:proofErr w:type="gramEnd"/>
      <w:r w:rsidRPr="0030607C">
        <w:t xml:space="preserve"> the explicit</w:t>
      </w:r>
      <w:r>
        <w:t xml:space="preserve"> </w:t>
      </w:r>
      <w:r w:rsidRPr="0030607C">
        <w:t xml:space="preserve">commitments made in the 2024 US-specific privacy </w:t>
      </w:r>
      <w:proofErr w:type="spellStart"/>
      <w:r w:rsidRPr="0030607C">
        <w:t>policy</w:t>
      </w:r>
      <w:r>
        <w:rPr>
          <w:rFonts w:ascii="Helvetica Neue" w:hAnsi="Helvetica Neue"/>
          <w:color w:val="000000"/>
          <w:sz w:val="26"/>
          <w:szCs w:val="26"/>
          <w:shd w:val="clear" w:color="auto" w:fill="FFFFFF"/>
        </w:rPr>
        <w:t>:</w:t>
      </w:r>
    </w:p>
    <w:p w14:paraId="6EC23C22" w14:textId="2A71685A" w:rsidR="0030607C" w:rsidRDefault="0030607C" w:rsidP="0030607C">
      <w:pPr>
        <w:pStyle w:val="ListParagraph"/>
        <w:numPr>
          <w:ilvl w:val="0"/>
          <w:numId w:val="15"/>
        </w:numPr>
      </w:pPr>
      <w:proofErr w:type="spellEnd"/>
      <w:r>
        <w:t>GPS Location Collection: 2024 policy stated 'TikTok does NOT collect GPS data from US users.' 2026 introduced precise GPS collection</w:t>
      </w:r>
    </w:p>
    <w:p w14:paraId="2C89DBF0" w14:textId="77777777" w:rsidR="0030607C" w:rsidRDefault="0030607C" w:rsidP="0030607C">
      <w:r>
        <w:t>•</w:t>
      </w:r>
      <w:r>
        <w:tab/>
        <w:t>AI Interaction Data: New collection of all prompts, questions, files, and media submitted to AI interfaces. No opt-out available</w:t>
      </w:r>
    </w:p>
    <w:p w14:paraId="7D2F9B0D" w14:textId="77777777" w:rsidR="0030607C" w:rsidRDefault="0030607C" w:rsidP="0030607C">
      <w:r>
        <w:t>•</w:t>
      </w:r>
      <w:r>
        <w:tab/>
        <w:t>Cross-Platform Advertising: User data now powers ads on third-party platforms outside TikTok. Prior policy restricted targeting to within-app only</w:t>
      </w:r>
    </w:p>
    <w:p w14:paraId="0B43B2CC" w14:textId="64C3651B" w:rsidR="0030607C" w:rsidRPr="0030607C" w:rsidRDefault="00E64A32" w:rsidP="0030607C">
      <w:r>
        <w:rPr>
          <w:b/>
        </w:rPr>
        <w:t xml:space="preserve">Notification Inadequacy: </w:t>
      </w:r>
      <w:r w:rsidR="0030607C" w:rsidRPr="0030607C">
        <w:t xml:space="preserve">The substantial changes were announced through an in-app pop-up which contained three short bullet points. The announcement had two restrictions because there </w:t>
      </w:r>
      <w:r w:rsidR="0030607C" w:rsidRPr="0030607C">
        <w:t>were</w:t>
      </w:r>
      <w:r w:rsidR="0030607C" w:rsidRPr="0030607C">
        <w:t xml:space="preserve"> no advance email notice and no grace period.</w:t>
      </w:r>
    </w:p>
    <w:p w14:paraId="143C0846" w14:textId="4A0A614D" w:rsidR="00E64A32" w:rsidRDefault="00E64A32" w:rsidP="0030607C">
      <w:pPr>
        <w:pStyle w:val="Heading1"/>
      </w:pPr>
      <w:r>
        <w:t>4. Regulatory Compliance Status</w:t>
      </w:r>
    </w:p>
    <w:p w14:paraId="5E161BE7" w14:textId="77777777" w:rsidR="00E64A32" w:rsidRDefault="00E64A32" w:rsidP="00E64A32">
      <w:pPr>
        <w:pStyle w:val="Heading2"/>
      </w:pPr>
      <w:r>
        <w:t>4.1 Overall Compliance Scores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E64A32" w14:paraId="39E2D55D" w14:textId="77777777" w:rsidTr="007E3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3948C9" w14:textId="77777777" w:rsidR="00E64A32" w:rsidRDefault="00E64A32" w:rsidP="007E31F9">
            <w:r>
              <w:t>Service</w:t>
            </w:r>
          </w:p>
        </w:tc>
        <w:tc>
          <w:tcPr>
            <w:tcW w:w="1440" w:type="dxa"/>
          </w:tcPr>
          <w:p w14:paraId="5DA9EEA8" w14:textId="77777777" w:rsidR="00E64A32" w:rsidRDefault="00E64A32" w:rsidP="007E31F9">
            <w:pPr>
              <w:cnfStyle w:val="100000000000" w:firstRow="1" w:lastRow="0" w:firstColumn="0" w:lastColumn="0" w:oddVBand="0" w:evenVBand="0" w:oddHBand="0" w:evenHBand="0" w:firstRowFirstColumn="0" w:firstRowLastColumn="0" w:lastRowFirstColumn="0" w:lastRowLastColumn="0"/>
            </w:pPr>
            <w:r>
              <w:t>CCPA</w:t>
            </w:r>
          </w:p>
        </w:tc>
        <w:tc>
          <w:tcPr>
            <w:tcW w:w="1440" w:type="dxa"/>
          </w:tcPr>
          <w:p w14:paraId="5B35803E" w14:textId="77777777" w:rsidR="00E64A32" w:rsidRDefault="00E64A32" w:rsidP="007E31F9">
            <w:pPr>
              <w:cnfStyle w:val="100000000000" w:firstRow="1" w:lastRow="0" w:firstColumn="0" w:lastColumn="0" w:oddVBand="0" w:evenVBand="0" w:oddHBand="0" w:evenHBand="0" w:firstRowFirstColumn="0" w:firstRowLastColumn="0" w:lastRowFirstColumn="0" w:lastRowLastColumn="0"/>
            </w:pPr>
            <w:r>
              <w:t>VCDPA</w:t>
            </w:r>
          </w:p>
        </w:tc>
        <w:tc>
          <w:tcPr>
            <w:tcW w:w="1440" w:type="dxa"/>
          </w:tcPr>
          <w:p w14:paraId="2E85A2DE" w14:textId="77777777" w:rsidR="00E64A32" w:rsidRDefault="00E64A32" w:rsidP="007E31F9">
            <w:pPr>
              <w:cnfStyle w:val="100000000000" w:firstRow="1" w:lastRow="0" w:firstColumn="0" w:lastColumn="0" w:oddVBand="0" w:evenVBand="0" w:oddHBand="0" w:evenHBand="0" w:firstRowFirstColumn="0" w:firstRowLastColumn="0" w:lastRowFirstColumn="0" w:lastRowLastColumn="0"/>
            </w:pPr>
            <w:r>
              <w:t>GDPR</w:t>
            </w:r>
          </w:p>
        </w:tc>
        <w:tc>
          <w:tcPr>
            <w:tcW w:w="1440" w:type="dxa"/>
          </w:tcPr>
          <w:p w14:paraId="57C5D80B" w14:textId="77777777" w:rsidR="00E64A32" w:rsidRDefault="00E64A32" w:rsidP="007E31F9">
            <w:pPr>
              <w:cnfStyle w:val="100000000000" w:firstRow="1" w:lastRow="0" w:firstColumn="0" w:lastColumn="0" w:oddVBand="0" w:evenVBand="0" w:oddHBand="0" w:evenHBand="0" w:firstRowFirstColumn="0" w:firstRowLastColumn="0" w:lastRowFirstColumn="0" w:lastRowLastColumn="0"/>
            </w:pPr>
            <w:r>
              <w:t>Overall</w:t>
            </w:r>
          </w:p>
        </w:tc>
        <w:tc>
          <w:tcPr>
            <w:tcW w:w="1440" w:type="dxa"/>
          </w:tcPr>
          <w:p w14:paraId="5BFDFD14" w14:textId="77777777" w:rsidR="00E64A32" w:rsidRDefault="00E64A32" w:rsidP="007E31F9">
            <w:pPr>
              <w:cnfStyle w:val="100000000000" w:firstRow="1" w:lastRow="0" w:firstColumn="0" w:lastColumn="0" w:oddVBand="0" w:evenVBand="0" w:oddHBand="0" w:evenHBand="0" w:firstRowFirstColumn="0" w:firstRowLastColumn="0" w:lastRowFirstColumn="0" w:lastRowLastColumn="0"/>
            </w:pPr>
            <w:r>
              <w:t>Rating</w:t>
            </w:r>
          </w:p>
        </w:tc>
      </w:tr>
      <w:tr w:rsidR="00E64A32" w14:paraId="4EAD07DC"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20163E" w14:textId="77777777" w:rsidR="00E64A32" w:rsidRDefault="00E64A32" w:rsidP="007E31F9">
            <w:r>
              <w:t>Google Drive</w:t>
            </w:r>
          </w:p>
        </w:tc>
        <w:tc>
          <w:tcPr>
            <w:tcW w:w="1440" w:type="dxa"/>
          </w:tcPr>
          <w:p w14:paraId="400230F9"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2F1DA23D"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94.4%</w:t>
            </w:r>
          </w:p>
        </w:tc>
        <w:tc>
          <w:tcPr>
            <w:tcW w:w="1440" w:type="dxa"/>
          </w:tcPr>
          <w:p w14:paraId="1EE5D99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90.9%</w:t>
            </w:r>
          </w:p>
        </w:tc>
        <w:tc>
          <w:tcPr>
            <w:tcW w:w="1440" w:type="dxa"/>
          </w:tcPr>
          <w:p w14:paraId="72D8A6F4"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95.1%</w:t>
            </w:r>
          </w:p>
        </w:tc>
        <w:tc>
          <w:tcPr>
            <w:tcW w:w="1440" w:type="dxa"/>
          </w:tcPr>
          <w:p w14:paraId="7C89D49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Excellent</w:t>
            </w:r>
          </w:p>
        </w:tc>
      </w:tr>
      <w:tr w:rsidR="00E64A32" w14:paraId="65ACEC8D"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135185" w14:textId="77777777" w:rsidR="00E64A32" w:rsidRDefault="00E64A32" w:rsidP="007E31F9">
            <w:r>
              <w:t>Google Pay</w:t>
            </w:r>
          </w:p>
        </w:tc>
        <w:tc>
          <w:tcPr>
            <w:tcW w:w="1440" w:type="dxa"/>
          </w:tcPr>
          <w:p w14:paraId="032B49EA"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2EBF4D62"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94.4%</w:t>
            </w:r>
          </w:p>
        </w:tc>
        <w:tc>
          <w:tcPr>
            <w:tcW w:w="1440" w:type="dxa"/>
          </w:tcPr>
          <w:p w14:paraId="7C0864FE"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86.4%</w:t>
            </w:r>
          </w:p>
        </w:tc>
        <w:tc>
          <w:tcPr>
            <w:tcW w:w="1440" w:type="dxa"/>
          </w:tcPr>
          <w:p w14:paraId="6917648C"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93.6%</w:t>
            </w:r>
          </w:p>
        </w:tc>
        <w:tc>
          <w:tcPr>
            <w:tcW w:w="1440" w:type="dxa"/>
          </w:tcPr>
          <w:p w14:paraId="41794DDD"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Excellent</w:t>
            </w:r>
          </w:p>
        </w:tc>
      </w:tr>
      <w:tr w:rsidR="00E64A32" w14:paraId="5CCCA0B8"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FBD230" w14:textId="77777777" w:rsidR="00E64A32" w:rsidRDefault="00E64A32" w:rsidP="007E31F9">
            <w:r>
              <w:t>Airbnb</w:t>
            </w:r>
          </w:p>
        </w:tc>
        <w:tc>
          <w:tcPr>
            <w:tcW w:w="1440" w:type="dxa"/>
          </w:tcPr>
          <w:p w14:paraId="18BB43AC"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631FD4DB"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94.4%</w:t>
            </w:r>
          </w:p>
        </w:tc>
        <w:tc>
          <w:tcPr>
            <w:tcW w:w="1440" w:type="dxa"/>
          </w:tcPr>
          <w:p w14:paraId="5735B850"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86.4%</w:t>
            </w:r>
          </w:p>
        </w:tc>
        <w:tc>
          <w:tcPr>
            <w:tcW w:w="1440" w:type="dxa"/>
          </w:tcPr>
          <w:p w14:paraId="42ECBE56"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93.6%</w:t>
            </w:r>
          </w:p>
        </w:tc>
        <w:tc>
          <w:tcPr>
            <w:tcW w:w="1440" w:type="dxa"/>
          </w:tcPr>
          <w:p w14:paraId="0F4ECAF4"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Excellent</w:t>
            </w:r>
          </w:p>
        </w:tc>
      </w:tr>
      <w:tr w:rsidR="00E64A32" w14:paraId="4CDDB72A"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3EA7E2" w14:textId="77777777" w:rsidR="00E64A32" w:rsidRDefault="00E64A32" w:rsidP="007E31F9">
            <w:r>
              <w:t>Spotify</w:t>
            </w:r>
          </w:p>
        </w:tc>
        <w:tc>
          <w:tcPr>
            <w:tcW w:w="1440" w:type="dxa"/>
          </w:tcPr>
          <w:p w14:paraId="4BBB584D"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6D375B96"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94.4%</w:t>
            </w:r>
          </w:p>
        </w:tc>
        <w:tc>
          <w:tcPr>
            <w:tcW w:w="1440" w:type="dxa"/>
          </w:tcPr>
          <w:p w14:paraId="7FC16C9E"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81.8%</w:t>
            </w:r>
          </w:p>
        </w:tc>
        <w:tc>
          <w:tcPr>
            <w:tcW w:w="1440" w:type="dxa"/>
          </w:tcPr>
          <w:p w14:paraId="3A70F597"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92.1%</w:t>
            </w:r>
          </w:p>
        </w:tc>
        <w:tc>
          <w:tcPr>
            <w:tcW w:w="1440" w:type="dxa"/>
          </w:tcPr>
          <w:p w14:paraId="1A8A7601"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Excellent</w:t>
            </w:r>
          </w:p>
        </w:tc>
      </w:tr>
      <w:tr w:rsidR="00E64A32" w14:paraId="4ACE86BC"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C8A5F0" w14:textId="77777777" w:rsidR="00E64A32" w:rsidRDefault="00E64A32" w:rsidP="007E31F9">
            <w:r>
              <w:t>Discord</w:t>
            </w:r>
          </w:p>
        </w:tc>
        <w:tc>
          <w:tcPr>
            <w:tcW w:w="1440" w:type="dxa"/>
          </w:tcPr>
          <w:p w14:paraId="5C92E6AA"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93.8%</w:t>
            </w:r>
          </w:p>
        </w:tc>
        <w:tc>
          <w:tcPr>
            <w:tcW w:w="1440" w:type="dxa"/>
          </w:tcPr>
          <w:p w14:paraId="0AA7F8FA"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94.4%</w:t>
            </w:r>
          </w:p>
        </w:tc>
        <w:tc>
          <w:tcPr>
            <w:tcW w:w="1440" w:type="dxa"/>
          </w:tcPr>
          <w:p w14:paraId="690753E7"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86.4%</w:t>
            </w:r>
          </w:p>
        </w:tc>
        <w:tc>
          <w:tcPr>
            <w:tcW w:w="1440" w:type="dxa"/>
          </w:tcPr>
          <w:p w14:paraId="592AB0E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91.5%</w:t>
            </w:r>
          </w:p>
        </w:tc>
        <w:tc>
          <w:tcPr>
            <w:tcW w:w="1440" w:type="dxa"/>
          </w:tcPr>
          <w:p w14:paraId="55D0EADA"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Excellent</w:t>
            </w:r>
          </w:p>
        </w:tc>
      </w:tr>
      <w:tr w:rsidR="00E64A32" w14:paraId="08720BB2"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13B675" w14:textId="77777777" w:rsidR="00E64A32" w:rsidRDefault="00E64A32" w:rsidP="007E31F9">
            <w:r>
              <w:t>Gmail (Google)</w:t>
            </w:r>
          </w:p>
        </w:tc>
        <w:tc>
          <w:tcPr>
            <w:tcW w:w="1440" w:type="dxa"/>
          </w:tcPr>
          <w:p w14:paraId="3F4B9061"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50EEA60A"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77.8%</w:t>
            </w:r>
          </w:p>
        </w:tc>
        <w:tc>
          <w:tcPr>
            <w:tcW w:w="1440" w:type="dxa"/>
          </w:tcPr>
          <w:p w14:paraId="6E64AE70"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81.8%</w:t>
            </w:r>
          </w:p>
        </w:tc>
        <w:tc>
          <w:tcPr>
            <w:tcW w:w="1440" w:type="dxa"/>
          </w:tcPr>
          <w:p w14:paraId="2784F29A"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86.5%</w:t>
            </w:r>
          </w:p>
        </w:tc>
        <w:tc>
          <w:tcPr>
            <w:tcW w:w="1440" w:type="dxa"/>
          </w:tcPr>
          <w:p w14:paraId="325BD7C9"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Excellent</w:t>
            </w:r>
          </w:p>
        </w:tc>
      </w:tr>
      <w:tr w:rsidR="00E64A32" w14:paraId="73C011D5"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375EB1" w14:textId="77777777" w:rsidR="00E64A32" w:rsidRDefault="00E64A32" w:rsidP="007E31F9">
            <w:r>
              <w:t>Slack</w:t>
            </w:r>
          </w:p>
        </w:tc>
        <w:tc>
          <w:tcPr>
            <w:tcW w:w="1440" w:type="dxa"/>
          </w:tcPr>
          <w:p w14:paraId="59387A86"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87.5%</w:t>
            </w:r>
          </w:p>
        </w:tc>
        <w:tc>
          <w:tcPr>
            <w:tcW w:w="1440" w:type="dxa"/>
          </w:tcPr>
          <w:p w14:paraId="66C158CB"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83.3%</w:t>
            </w:r>
          </w:p>
        </w:tc>
        <w:tc>
          <w:tcPr>
            <w:tcW w:w="1440" w:type="dxa"/>
          </w:tcPr>
          <w:p w14:paraId="22785617"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77.3%</w:t>
            </w:r>
          </w:p>
        </w:tc>
        <w:tc>
          <w:tcPr>
            <w:tcW w:w="1440" w:type="dxa"/>
          </w:tcPr>
          <w:p w14:paraId="7D8B6ADF"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82.7%</w:t>
            </w:r>
          </w:p>
        </w:tc>
        <w:tc>
          <w:tcPr>
            <w:tcW w:w="1440" w:type="dxa"/>
          </w:tcPr>
          <w:p w14:paraId="688FE7E4"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Good</w:t>
            </w:r>
          </w:p>
        </w:tc>
      </w:tr>
      <w:tr w:rsidR="00E64A32" w14:paraId="6828C982"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7909D2" w14:textId="77777777" w:rsidR="00E64A32" w:rsidRDefault="00E64A32" w:rsidP="007E31F9">
            <w:r>
              <w:t>LinkedIn</w:t>
            </w:r>
          </w:p>
        </w:tc>
        <w:tc>
          <w:tcPr>
            <w:tcW w:w="1440" w:type="dxa"/>
          </w:tcPr>
          <w:p w14:paraId="007A9748"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93.8%</w:t>
            </w:r>
          </w:p>
        </w:tc>
        <w:tc>
          <w:tcPr>
            <w:tcW w:w="1440" w:type="dxa"/>
          </w:tcPr>
          <w:p w14:paraId="7A0A5E66"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72.2%</w:t>
            </w:r>
          </w:p>
        </w:tc>
        <w:tc>
          <w:tcPr>
            <w:tcW w:w="1440" w:type="dxa"/>
          </w:tcPr>
          <w:p w14:paraId="7AD46690"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77.3%</w:t>
            </w:r>
          </w:p>
        </w:tc>
        <w:tc>
          <w:tcPr>
            <w:tcW w:w="1440" w:type="dxa"/>
          </w:tcPr>
          <w:p w14:paraId="416FA31D"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81.1%</w:t>
            </w:r>
          </w:p>
        </w:tc>
        <w:tc>
          <w:tcPr>
            <w:tcW w:w="1440" w:type="dxa"/>
          </w:tcPr>
          <w:p w14:paraId="72D172AA"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Good</w:t>
            </w:r>
          </w:p>
        </w:tc>
      </w:tr>
      <w:tr w:rsidR="00E64A32" w14:paraId="640658BA"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C773B0" w14:textId="77777777" w:rsidR="00E64A32" w:rsidRDefault="00E64A32" w:rsidP="007E31F9">
            <w:r>
              <w:t>Amazon</w:t>
            </w:r>
          </w:p>
        </w:tc>
        <w:tc>
          <w:tcPr>
            <w:tcW w:w="1440" w:type="dxa"/>
          </w:tcPr>
          <w:p w14:paraId="21AE239F"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93.8%</w:t>
            </w:r>
          </w:p>
        </w:tc>
        <w:tc>
          <w:tcPr>
            <w:tcW w:w="1440" w:type="dxa"/>
          </w:tcPr>
          <w:p w14:paraId="309947D4"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72.2%</w:t>
            </w:r>
          </w:p>
        </w:tc>
        <w:tc>
          <w:tcPr>
            <w:tcW w:w="1440" w:type="dxa"/>
          </w:tcPr>
          <w:p w14:paraId="03656B48"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72.7%</w:t>
            </w:r>
          </w:p>
        </w:tc>
        <w:tc>
          <w:tcPr>
            <w:tcW w:w="1440" w:type="dxa"/>
          </w:tcPr>
          <w:p w14:paraId="64D165C5"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79.6%</w:t>
            </w:r>
          </w:p>
        </w:tc>
        <w:tc>
          <w:tcPr>
            <w:tcW w:w="1440" w:type="dxa"/>
          </w:tcPr>
          <w:p w14:paraId="503A34BF"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Good</w:t>
            </w:r>
          </w:p>
        </w:tc>
      </w:tr>
      <w:tr w:rsidR="00E64A32" w14:paraId="548E31C7"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86D380" w14:textId="77777777" w:rsidR="00E64A32" w:rsidRDefault="00E64A32" w:rsidP="007E31F9">
            <w:r>
              <w:t>TikTok</w:t>
            </w:r>
          </w:p>
        </w:tc>
        <w:tc>
          <w:tcPr>
            <w:tcW w:w="1440" w:type="dxa"/>
          </w:tcPr>
          <w:p w14:paraId="696CBFF9"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81.2%</w:t>
            </w:r>
          </w:p>
        </w:tc>
        <w:tc>
          <w:tcPr>
            <w:tcW w:w="1440" w:type="dxa"/>
          </w:tcPr>
          <w:p w14:paraId="0C0D9192"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55.6%</w:t>
            </w:r>
          </w:p>
        </w:tc>
        <w:tc>
          <w:tcPr>
            <w:tcW w:w="1440" w:type="dxa"/>
          </w:tcPr>
          <w:p w14:paraId="7F9646E8"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68.8%</w:t>
            </w:r>
          </w:p>
        </w:tc>
        <w:tc>
          <w:tcPr>
            <w:tcW w:w="1440" w:type="dxa"/>
          </w:tcPr>
          <w:p w14:paraId="432B2D50"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68.5%</w:t>
            </w:r>
          </w:p>
        </w:tc>
        <w:tc>
          <w:tcPr>
            <w:tcW w:w="1440" w:type="dxa"/>
          </w:tcPr>
          <w:p w14:paraId="6A7639A4"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Acceptable</w:t>
            </w:r>
          </w:p>
        </w:tc>
      </w:tr>
      <w:tr w:rsidR="00E64A32" w14:paraId="1A457E6C" w14:textId="77777777" w:rsidTr="007E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187A07" w14:textId="77777777" w:rsidR="00E64A32" w:rsidRDefault="00E64A32" w:rsidP="007E31F9">
            <w:r>
              <w:t>Instagram (Meta)</w:t>
            </w:r>
          </w:p>
        </w:tc>
        <w:tc>
          <w:tcPr>
            <w:tcW w:w="1440" w:type="dxa"/>
          </w:tcPr>
          <w:p w14:paraId="3C0E5D79"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68.8%</w:t>
            </w:r>
          </w:p>
        </w:tc>
        <w:tc>
          <w:tcPr>
            <w:tcW w:w="1440" w:type="dxa"/>
          </w:tcPr>
          <w:p w14:paraId="0E24B94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31E3EBB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54.5%</w:t>
            </w:r>
          </w:p>
        </w:tc>
        <w:tc>
          <w:tcPr>
            <w:tcW w:w="1440" w:type="dxa"/>
          </w:tcPr>
          <w:p w14:paraId="0FD5F9E3"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57.8%</w:t>
            </w:r>
          </w:p>
        </w:tc>
        <w:tc>
          <w:tcPr>
            <w:tcW w:w="1440" w:type="dxa"/>
          </w:tcPr>
          <w:p w14:paraId="1EE0345C" w14:textId="77777777" w:rsidR="00E64A32" w:rsidRDefault="00E64A32" w:rsidP="007E31F9">
            <w:pPr>
              <w:cnfStyle w:val="000000100000" w:firstRow="0" w:lastRow="0" w:firstColumn="0" w:lastColumn="0" w:oddVBand="0" w:evenVBand="0" w:oddHBand="1" w:evenHBand="0" w:firstRowFirstColumn="0" w:firstRowLastColumn="0" w:lastRowFirstColumn="0" w:lastRowLastColumn="0"/>
            </w:pPr>
            <w:r>
              <w:t>Acceptable</w:t>
            </w:r>
          </w:p>
        </w:tc>
      </w:tr>
      <w:tr w:rsidR="00E64A32" w14:paraId="40491558" w14:textId="77777777" w:rsidTr="007E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0FB645" w14:textId="77777777" w:rsidR="00E64A32" w:rsidRDefault="00E64A32" w:rsidP="007E31F9">
            <w:r>
              <w:t>Venmo (PayPal)</w:t>
            </w:r>
          </w:p>
        </w:tc>
        <w:tc>
          <w:tcPr>
            <w:tcW w:w="1440" w:type="dxa"/>
          </w:tcPr>
          <w:p w14:paraId="30D06862"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75.0%</w:t>
            </w:r>
          </w:p>
        </w:tc>
        <w:tc>
          <w:tcPr>
            <w:tcW w:w="1440" w:type="dxa"/>
          </w:tcPr>
          <w:p w14:paraId="4641400F"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44.4%</w:t>
            </w:r>
          </w:p>
        </w:tc>
        <w:tc>
          <w:tcPr>
            <w:tcW w:w="1440" w:type="dxa"/>
          </w:tcPr>
          <w:p w14:paraId="50434BBA"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45.5%</w:t>
            </w:r>
          </w:p>
        </w:tc>
        <w:tc>
          <w:tcPr>
            <w:tcW w:w="1440" w:type="dxa"/>
          </w:tcPr>
          <w:p w14:paraId="40BCF4F7"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55.0%</w:t>
            </w:r>
          </w:p>
        </w:tc>
        <w:tc>
          <w:tcPr>
            <w:tcW w:w="1440" w:type="dxa"/>
          </w:tcPr>
          <w:p w14:paraId="2C0E6BC4" w14:textId="77777777" w:rsidR="00E64A32" w:rsidRDefault="00E64A32" w:rsidP="007E31F9">
            <w:pPr>
              <w:cnfStyle w:val="000000010000" w:firstRow="0" w:lastRow="0" w:firstColumn="0" w:lastColumn="0" w:oddVBand="0" w:evenVBand="0" w:oddHBand="0" w:evenHBand="1" w:firstRowFirstColumn="0" w:firstRowLastColumn="0" w:lastRowFirstColumn="0" w:lastRowLastColumn="0"/>
            </w:pPr>
            <w:r>
              <w:t>Acceptable</w:t>
            </w:r>
          </w:p>
        </w:tc>
      </w:tr>
    </w:tbl>
    <w:p w14:paraId="7B31108F" w14:textId="77777777" w:rsidR="00E64A32" w:rsidRDefault="00E64A32" w:rsidP="00E64A32"/>
    <w:p w14:paraId="24552CC5" w14:textId="77777777" w:rsidR="00E64A32" w:rsidRDefault="00E64A32" w:rsidP="00E64A32">
      <w:pPr>
        <w:pStyle w:val="Heading2"/>
      </w:pPr>
      <w:r>
        <w:lastRenderedPageBreak/>
        <w:t>4.2 Geographic Disparity: US vs EU Protections</w:t>
      </w:r>
    </w:p>
    <w:p w14:paraId="306F71C2" w14:textId="77777777" w:rsidR="0030607C" w:rsidRPr="0030607C" w:rsidRDefault="0030607C" w:rsidP="00E64A32">
      <w:pPr>
        <w:pStyle w:val="Heading3"/>
        <w:rPr>
          <w:rFonts w:ascii="Arial" w:eastAsiaTheme="minorEastAsia" w:hAnsi="Arial" w:cstheme="minorBidi"/>
          <w:b w:val="0"/>
          <w:bCs w:val="0"/>
          <w:color w:val="auto"/>
        </w:rPr>
      </w:pPr>
      <w:r w:rsidRPr="0030607C">
        <w:rPr>
          <w:rFonts w:ascii="Arial" w:eastAsiaTheme="minorEastAsia" w:hAnsi="Arial" w:cstheme="minorBidi"/>
          <w:b w:val="0"/>
          <w:bCs w:val="0"/>
          <w:color w:val="auto"/>
        </w:rPr>
        <w:t xml:space="preserve">CRITICAL FINDINGS: US users are offered significantly less privacy protection as compared to those in the EU, especially </w:t>
      </w:r>
      <w:proofErr w:type="gramStart"/>
      <w:r w:rsidRPr="0030607C">
        <w:rPr>
          <w:rFonts w:ascii="Arial" w:eastAsiaTheme="minorEastAsia" w:hAnsi="Arial" w:cstheme="minorBidi"/>
          <w:b w:val="0"/>
          <w:bCs w:val="0"/>
          <w:color w:val="auto"/>
        </w:rPr>
        <w:t>with regard to</w:t>
      </w:r>
      <w:proofErr w:type="gramEnd"/>
      <w:r w:rsidRPr="0030607C">
        <w:rPr>
          <w:rFonts w:ascii="Arial" w:eastAsiaTheme="minorEastAsia" w:hAnsi="Arial" w:cstheme="minorBidi"/>
          <w:b w:val="0"/>
          <w:bCs w:val="0"/>
          <w:color w:val="auto"/>
        </w:rPr>
        <w:t xml:space="preserve"> AI training data and opting out of behavioral profiling.</w:t>
      </w:r>
    </w:p>
    <w:p w14:paraId="7DF10DBA" w14:textId="293D5194" w:rsidR="00E64A32" w:rsidRDefault="00E64A32" w:rsidP="00E64A32">
      <w:pPr>
        <w:pStyle w:val="Heading3"/>
      </w:pPr>
      <w:r>
        <w:t>AI Training Data Collection (2023-2026 Trend)</w:t>
      </w:r>
    </w:p>
    <w:p w14:paraId="75965779" w14:textId="77777777" w:rsidR="0030607C" w:rsidRPr="0030607C" w:rsidRDefault="0030607C" w:rsidP="0030607C">
      <w:pPr>
        <w:pStyle w:val="Heading1"/>
        <w:spacing w:before="0"/>
        <w:jc w:val="both"/>
        <w:rPr>
          <w:rFonts w:ascii="Arial" w:eastAsiaTheme="minorEastAsia" w:hAnsi="Arial" w:cstheme="minorBidi"/>
          <w:b w:val="0"/>
          <w:bCs w:val="0"/>
          <w:color w:val="auto"/>
          <w:sz w:val="22"/>
          <w:szCs w:val="22"/>
        </w:rPr>
      </w:pPr>
      <w:r w:rsidRPr="0030607C">
        <w:rPr>
          <w:rFonts w:ascii="Arial" w:eastAsiaTheme="minorEastAsia" w:hAnsi="Arial" w:cstheme="minorBidi"/>
          <w:b w:val="0"/>
          <w:bCs w:val="0"/>
          <w:color w:val="auto"/>
          <w:sz w:val="22"/>
          <w:szCs w:val="22"/>
        </w:rPr>
        <w:t xml:space="preserve">Google (2023) updated its AI training system which now functions as a legitimate interest under its user data processing system. EU users </w:t>
      </w:r>
      <w:proofErr w:type="gramStart"/>
      <w:r w:rsidRPr="0030607C">
        <w:rPr>
          <w:rFonts w:ascii="Arial" w:eastAsiaTheme="minorEastAsia" w:hAnsi="Arial" w:cstheme="minorBidi"/>
          <w:b w:val="0"/>
          <w:bCs w:val="0"/>
          <w:color w:val="auto"/>
          <w:sz w:val="22"/>
          <w:szCs w:val="22"/>
        </w:rPr>
        <w:t>have the ability to</w:t>
      </w:r>
      <w:proofErr w:type="gramEnd"/>
      <w:r w:rsidRPr="0030607C">
        <w:rPr>
          <w:rFonts w:ascii="Arial" w:eastAsiaTheme="minorEastAsia" w:hAnsi="Arial" w:cstheme="minorBidi"/>
          <w:b w:val="0"/>
          <w:bCs w:val="0"/>
          <w:color w:val="auto"/>
          <w:sz w:val="22"/>
          <w:szCs w:val="22"/>
        </w:rPr>
        <w:t xml:space="preserve"> raise objections while US users lack this same right. LinkedIn (Nov 2025) activated automatic user enrollment for its platform because EU users now possess better methods to decline their participation. Spotify (Aug 2025) conducts data processing for its AI system through legitimate interests. US users do not have the option to decline. Instagram/Meta (ongoing) provides no opt-out option for US users while EU users can raise objections following the €1.2B fine.</w:t>
      </w:r>
    </w:p>
    <w:p w14:paraId="696A6817" w14:textId="5D35D76D" w:rsidR="00E64A32" w:rsidRDefault="00E64A32" w:rsidP="00E64A32">
      <w:pPr>
        <w:pStyle w:val="Heading1"/>
      </w:pPr>
      <w:r>
        <w:t>5. User-Friendliness Assessment</w:t>
      </w:r>
    </w:p>
    <w:p w14:paraId="32281BC3" w14:textId="77777777" w:rsidR="00E64A32" w:rsidRDefault="00E64A32" w:rsidP="00E64A32">
      <w:pPr>
        <w:pStyle w:val="Heading2"/>
      </w:pPr>
      <w:r>
        <w:t>5.1 Readability Analysis</w:t>
      </w:r>
    </w:p>
    <w:p w14:paraId="71996CA9" w14:textId="77777777" w:rsidR="00115C44" w:rsidRPr="00115C44" w:rsidRDefault="00115C44" w:rsidP="00115C44">
      <w:pPr>
        <w:shd w:val="clear" w:color="auto" w:fill="FFFFFF"/>
        <w:spacing w:after="0" w:line="240" w:lineRule="auto"/>
        <w:jc w:val="both"/>
      </w:pPr>
      <w:r w:rsidRPr="00115C44">
        <w:t>The study assessed privacy policies by measuring reading comprehension requirements and evaluating their use of specialized vocabulary and their total document length. Most policies require college-level reading comprehension, with dense legal terminology that obscures key information from average users. The best readable content is found in Spotify and Discord which provide users with simple language summaries that accompany their complete legal documents. LinkedIn offers explainer videos. The reading content of Amazon and Venmo becomes difficult to understand because they present legal documents in complex language without providing any visual breaks or summary information.</w:t>
      </w:r>
    </w:p>
    <w:p w14:paraId="25EA91B2" w14:textId="77777777" w:rsidR="00115C44" w:rsidRPr="00115C44" w:rsidRDefault="00115C44" w:rsidP="00115C44">
      <w:pPr>
        <w:spacing w:after="0" w:line="240" w:lineRule="auto"/>
        <w:rPr>
          <w:rFonts w:ascii="Times New Roman" w:eastAsia="Times New Roman" w:hAnsi="Times New Roman" w:cs="Times New Roman"/>
          <w:sz w:val="24"/>
          <w:szCs w:val="24"/>
        </w:rPr>
      </w:pPr>
    </w:p>
    <w:p w14:paraId="1FE1E1CA" w14:textId="77777777" w:rsidR="00E64A32" w:rsidRDefault="00E64A32" w:rsidP="00E64A32">
      <w:pPr>
        <w:pStyle w:val="Heading2"/>
      </w:pPr>
      <w:r>
        <w:t>5.2 Accessibility</w:t>
      </w:r>
    </w:p>
    <w:p w14:paraId="313EDE23" w14:textId="77777777" w:rsidR="00115C44" w:rsidRPr="00115C44" w:rsidRDefault="00115C44" w:rsidP="00115C44">
      <w:pPr>
        <w:pStyle w:val="Heading2"/>
        <w:numPr>
          <w:ilvl w:val="0"/>
          <w:numId w:val="15"/>
        </w:numPr>
        <w:rPr>
          <w:rFonts w:ascii="Arial" w:eastAsiaTheme="minorEastAsia" w:hAnsi="Arial" w:cstheme="minorBidi"/>
          <w:b w:val="0"/>
          <w:bCs w:val="0"/>
          <w:color w:val="auto"/>
          <w:sz w:val="22"/>
          <w:szCs w:val="22"/>
        </w:rPr>
      </w:pPr>
      <w:r w:rsidRPr="00115C44">
        <w:rPr>
          <w:rFonts w:ascii="Arial" w:eastAsiaTheme="minorEastAsia" w:hAnsi="Arial" w:cstheme="minorBidi"/>
          <w:b w:val="0"/>
          <w:bCs w:val="0"/>
          <w:color w:val="auto"/>
          <w:sz w:val="22"/>
          <w:szCs w:val="22"/>
        </w:rPr>
        <w:t xml:space="preserve">All services display their privacy policies through links which appear in their footer and settings menus. Spotify and LinkedIn create dedicated 'Privacy Center' hubs Discord and Spotify and LinkedIn provide search functions which allow users to search for information within their policies. </w:t>
      </w:r>
    </w:p>
    <w:p w14:paraId="47F7E78B" w14:textId="77777777" w:rsidR="00115C44" w:rsidRPr="00115C44" w:rsidRDefault="00115C44" w:rsidP="00115C44">
      <w:pPr>
        <w:pStyle w:val="Heading2"/>
        <w:numPr>
          <w:ilvl w:val="0"/>
          <w:numId w:val="15"/>
        </w:numPr>
        <w:rPr>
          <w:rFonts w:ascii="Arial" w:eastAsiaTheme="minorEastAsia" w:hAnsi="Arial" w:cstheme="minorBidi"/>
          <w:b w:val="0"/>
          <w:bCs w:val="0"/>
          <w:color w:val="auto"/>
          <w:sz w:val="22"/>
          <w:szCs w:val="22"/>
        </w:rPr>
      </w:pPr>
      <w:r w:rsidRPr="00115C44">
        <w:rPr>
          <w:rFonts w:ascii="Arial" w:eastAsiaTheme="minorEastAsia" w:hAnsi="Arial" w:cstheme="minorBidi"/>
          <w:b w:val="0"/>
          <w:bCs w:val="0"/>
          <w:color w:val="auto"/>
          <w:sz w:val="22"/>
          <w:szCs w:val="22"/>
        </w:rPr>
        <w:t xml:space="preserve">Most others require manual scrolling Discord and Spotify use clear section headers and table of contents for their content organization. </w:t>
      </w:r>
    </w:p>
    <w:p w14:paraId="202AF7F1" w14:textId="5E42E92A" w:rsidR="00115C44" w:rsidRPr="00115C44" w:rsidRDefault="00115C44" w:rsidP="00115C44">
      <w:pPr>
        <w:pStyle w:val="Heading2"/>
        <w:numPr>
          <w:ilvl w:val="0"/>
          <w:numId w:val="15"/>
        </w:numPr>
        <w:rPr>
          <w:rFonts w:ascii="Arial" w:eastAsiaTheme="minorEastAsia" w:hAnsi="Arial" w:cstheme="minorBidi"/>
          <w:b w:val="0"/>
          <w:bCs w:val="0"/>
          <w:color w:val="auto"/>
          <w:sz w:val="22"/>
          <w:szCs w:val="22"/>
        </w:rPr>
      </w:pPr>
      <w:r w:rsidRPr="00115C44">
        <w:rPr>
          <w:rFonts w:ascii="Arial" w:eastAsiaTheme="minorEastAsia" w:hAnsi="Arial" w:cstheme="minorBidi"/>
          <w:b w:val="0"/>
          <w:bCs w:val="0"/>
          <w:color w:val="auto"/>
          <w:sz w:val="22"/>
          <w:szCs w:val="22"/>
        </w:rPr>
        <w:t>TikTok and Venmo have minimal organization.</w:t>
      </w:r>
    </w:p>
    <w:p w14:paraId="7A525172" w14:textId="36957EB7" w:rsidR="00E64A32" w:rsidRDefault="00E64A32" w:rsidP="00E64A32">
      <w:pPr>
        <w:pStyle w:val="Heading2"/>
      </w:pPr>
      <w:r>
        <w:t>5.3 Actionability</w:t>
      </w:r>
    </w:p>
    <w:p w14:paraId="430B8D1B" w14:textId="77777777" w:rsidR="00E64A32" w:rsidRDefault="00E64A32" w:rsidP="00E64A32">
      <w:r>
        <w:t xml:space="preserve">Can users </w:t>
      </w:r>
      <w:proofErr w:type="gramStart"/>
      <w:r>
        <w:t>actually exercise</w:t>
      </w:r>
      <w:proofErr w:type="gramEnd"/>
      <w:r>
        <w:t xml:space="preserve"> the rights described in the policy? This measures the gap between stated rights and practical implementation.</w:t>
      </w:r>
    </w:p>
    <w:p w14:paraId="2D31270B" w14:textId="77777777" w:rsidR="00E64A32" w:rsidRDefault="00E64A32" w:rsidP="00E64A32">
      <w:pPr>
        <w:pStyle w:val="ListBullet"/>
      </w:pPr>
      <w:r>
        <w:lastRenderedPageBreak/>
        <w:t>High Actionability: Google (Takeout), Spotify (one-click downloads), LinkedIn (clear data archive)</w:t>
      </w:r>
    </w:p>
    <w:p w14:paraId="51B3897E" w14:textId="77777777" w:rsidR="00E64A32" w:rsidRDefault="00E64A32" w:rsidP="00E64A32">
      <w:pPr>
        <w:pStyle w:val="ListBullet"/>
      </w:pPr>
      <w:r>
        <w:t>Medium Actionability: Instagram (download available but deletion partial), Discord (manual message deletion required)</w:t>
      </w:r>
    </w:p>
    <w:p w14:paraId="6FAE7EF6" w14:textId="77777777" w:rsidR="00E64A32" w:rsidRDefault="00E64A32" w:rsidP="00E64A32">
      <w:pPr>
        <w:pStyle w:val="ListBullet"/>
      </w:pPr>
      <w:r>
        <w:t>Low Actionability: Venmo (data sharing continues post-closure), Slack (employer controls override user rights)</w:t>
      </w:r>
    </w:p>
    <w:p w14:paraId="14499B8E" w14:textId="77777777" w:rsidR="00E64A32" w:rsidRDefault="00E64A32" w:rsidP="00E64A32">
      <w:pPr>
        <w:pStyle w:val="Heading1"/>
      </w:pPr>
      <w:r>
        <w:t>6. Recommendations</w:t>
      </w:r>
    </w:p>
    <w:p w14:paraId="66E1578C" w14:textId="77777777" w:rsidR="00E64A32" w:rsidRDefault="00E64A32" w:rsidP="00E64A32">
      <w:pPr>
        <w:pStyle w:val="Heading2"/>
      </w:pPr>
      <w:r>
        <w:t>6.1 For Service Providers</w:t>
      </w:r>
    </w:p>
    <w:p w14:paraId="22A3B223" w14:textId="5DB7BD5B" w:rsidR="00115C44" w:rsidRPr="00115C44" w:rsidRDefault="00115C44" w:rsidP="00115C44">
      <w:pPr>
        <w:pStyle w:val="ListBullet"/>
      </w:pPr>
      <w:r w:rsidRPr="00115C44">
        <w:t xml:space="preserve">Adopt Spotify's universal CCPA rights model: Extend strong privacy protections to all US users regardless of state </w:t>
      </w:r>
    </w:p>
    <w:p w14:paraId="01CA8552" w14:textId="77777777" w:rsidR="00115C44" w:rsidRPr="00115C44" w:rsidRDefault="00115C44" w:rsidP="00115C44">
      <w:pPr>
        <w:pStyle w:val="ListBullet"/>
      </w:pPr>
      <w:r w:rsidRPr="00115C44">
        <w:t xml:space="preserve">Implement Discord/Spotify-style update notifications: 30-day advance notice with detailed change documentation • Follow Amazon's non-retroactive weakening pledge: Commit to not weakening protections for existing data </w:t>
      </w:r>
    </w:p>
    <w:p w14:paraId="491B523F" w14:textId="77777777" w:rsidR="00115C44" w:rsidRPr="00115C44" w:rsidRDefault="00115C44" w:rsidP="00115C44">
      <w:pPr>
        <w:pStyle w:val="ListBullet"/>
      </w:pPr>
      <w:r w:rsidRPr="00115C44">
        <w:t xml:space="preserve">Default to privacy-protective settings: Public-by-default (Venmo) and opt-in AI training (LinkedIn) are user-hostile </w:t>
      </w:r>
    </w:p>
    <w:p w14:paraId="4D068342" w14:textId="2DBD0FFE" w:rsidR="00115C44" w:rsidRPr="00115C44" w:rsidRDefault="00115C44" w:rsidP="00115C44">
      <w:pPr>
        <w:pStyle w:val="ListBullet"/>
      </w:pPr>
      <w:r w:rsidRPr="00115C44">
        <w:t>Commit to GDPR 72-hour breach notification timeline in policy text, not just regulatory compliance</w:t>
      </w:r>
    </w:p>
    <w:p w14:paraId="0C33AFD1" w14:textId="7A489199" w:rsidR="00E64A32" w:rsidRDefault="00E64A32" w:rsidP="00E64A32">
      <w:pPr>
        <w:pStyle w:val="Heading2"/>
      </w:pPr>
      <w:r>
        <w:t>6.2 For Regulators</w:t>
      </w:r>
    </w:p>
    <w:p w14:paraId="0545DAC3" w14:textId="77777777" w:rsidR="00115C44" w:rsidRPr="00115C44" w:rsidRDefault="00115C44" w:rsidP="00115C44">
      <w:pPr>
        <w:pStyle w:val="ListBullet"/>
      </w:pPr>
      <w:r w:rsidRPr="00115C44">
        <w:t xml:space="preserve">US privacy laws should establish explicit objection rights which people can use to object to 'legitimate interest' processing. </w:t>
      </w:r>
    </w:p>
    <w:p w14:paraId="1C895E7C" w14:textId="77777777" w:rsidR="00115C44" w:rsidRPr="00115C44" w:rsidRDefault="00115C44" w:rsidP="00115C44">
      <w:pPr>
        <w:pStyle w:val="ListBullet"/>
      </w:pPr>
      <w:r w:rsidRPr="00115C44">
        <w:t xml:space="preserve">The organization must provide a 30-day advance notice period which starts from the moment they announce their new policy until that policy becomes active. </w:t>
      </w:r>
    </w:p>
    <w:p w14:paraId="4362C554" w14:textId="77777777" w:rsidR="00115C44" w:rsidRPr="00115C44" w:rsidRDefault="00115C44" w:rsidP="00115C44">
      <w:pPr>
        <w:pStyle w:val="ListBullet"/>
      </w:pPr>
      <w:r w:rsidRPr="00115C44">
        <w:t xml:space="preserve">Existing definitions permit organizations to share customer data which creates the same result as selling their data. </w:t>
      </w:r>
    </w:p>
    <w:p w14:paraId="5F298E98" w14:textId="69A3939C" w:rsidR="00115C44" w:rsidRPr="00115C44" w:rsidRDefault="00115C44" w:rsidP="00115C44">
      <w:pPr>
        <w:pStyle w:val="ListBullet"/>
      </w:pPr>
      <w:r w:rsidRPr="00115C44">
        <w:t xml:space="preserve">The organization must provide understandable policy summaries which users can read together with their legal documents. </w:t>
      </w:r>
    </w:p>
    <w:p w14:paraId="50A3CC33" w14:textId="5584B53B" w:rsidR="00115C44" w:rsidRPr="00115C44" w:rsidRDefault="00115C44" w:rsidP="00115C44">
      <w:pPr>
        <w:pStyle w:val="ListBullet"/>
      </w:pPr>
      <w:r w:rsidRPr="00115C44">
        <w:t>The organization must stop sharing data with other parties after users delete their accounts which requires compliance with Venmo's policies.</w:t>
      </w:r>
    </w:p>
    <w:p w14:paraId="557B1310" w14:textId="55C70F53" w:rsidR="00E64A32" w:rsidRDefault="00E64A32" w:rsidP="00E64A32">
      <w:pPr>
        <w:pStyle w:val="Heading2"/>
      </w:pPr>
      <w:r>
        <w:t>6.3 For Users</w:t>
      </w:r>
    </w:p>
    <w:p w14:paraId="709E4335" w14:textId="77777777" w:rsidR="00115C44" w:rsidRPr="00115C44" w:rsidRDefault="00115C44" w:rsidP="00115C44">
      <w:pPr>
        <w:pStyle w:val="ListBullet"/>
      </w:pPr>
      <w:r w:rsidRPr="00115C44">
        <w:t xml:space="preserve">Users must verify their default privacy settings after they finish creating their account especially for Venmo. </w:t>
      </w:r>
    </w:p>
    <w:p w14:paraId="3DCEF81B" w14:textId="77777777" w:rsidR="00115C44" w:rsidRPr="00115C44" w:rsidRDefault="00115C44" w:rsidP="00115C44">
      <w:pPr>
        <w:pStyle w:val="ListBullet"/>
      </w:pPr>
      <w:r w:rsidRPr="00115C44">
        <w:t xml:space="preserve">The 'Off-Platform Activity' setting needs to be assessed together with all cross-site tracking controls used by Meta and Google. </w:t>
      </w:r>
    </w:p>
    <w:p w14:paraId="7A5CB4CB" w14:textId="77777777" w:rsidR="00115C44" w:rsidRPr="00115C44" w:rsidRDefault="00115C44" w:rsidP="00115C44">
      <w:pPr>
        <w:pStyle w:val="ListBullet"/>
      </w:pPr>
      <w:r w:rsidRPr="00115C44">
        <w:t xml:space="preserve">Users should choose to opt out of AI training through manual methods which are available in their LinkedIn, Google, and Spotify settings. </w:t>
      </w:r>
    </w:p>
    <w:p w14:paraId="128352E8" w14:textId="446F3BFA" w:rsidR="00115C44" w:rsidRPr="00115C44" w:rsidRDefault="00115C44" w:rsidP="00115C44">
      <w:pPr>
        <w:pStyle w:val="ListBullet"/>
      </w:pPr>
      <w:r w:rsidRPr="00115C44">
        <w:t xml:space="preserve">Users must download their data once a year to assess which services </w:t>
      </w:r>
      <w:proofErr w:type="gramStart"/>
      <w:r w:rsidRPr="00115C44">
        <w:t>actually gather</w:t>
      </w:r>
      <w:proofErr w:type="gramEnd"/>
      <w:r w:rsidRPr="00115C44">
        <w:t xml:space="preserve"> their information. </w:t>
      </w:r>
    </w:p>
    <w:p w14:paraId="7AE44D4F" w14:textId="712423EE" w:rsidR="00115C44" w:rsidRPr="00115C44" w:rsidRDefault="00115C44" w:rsidP="00115C44">
      <w:pPr>
        <w:pStyle w:val="ListBullet"/>
      </w:pPr>
      <w:r w:rsidRPr="00115C44">
        <w:lastRenderedPageBreak/>
        <w:t>Users should examine update notifications with great attention because important changes can reduce their current security measures.</w:t>
      </w:r>
    </w:p>
    <w:p w14:paraId="5D9655FC" w14:textId="447941F6" w:rsidR="00E64A32" w:rsidRDefault="00E64A32" w:rsidP="00E64A32">
      <w:pPr>
        <w:pStyle w:val="Heading1"/>
      </w:pPr>
      <w:r>
        <w:t>7. Conclusion</w:t>
      </w:r>
    </w:p>
    <w:p w14:paraId="18B5D05B" w14:textId="499B318F" w:rsidR="00190529" w:rsidRDefault="00115C44" w:rsidP="00115C44">
      <w:pPr>
        <w:pStyle w:val="ListBullet"/>
        <w:numPr>
          <w:ilvl w:val="0"/>
          <w:numId w:val="0"/>
        </w:numPr>
        <w:jc w:val="both"/>
      </w:pPr>
      <w:r w:rsidRPr="00115C44">
        <w:t xml:space="preserve">The analysis shows that all 12 services meet basic regulatory </w:t>
      </w:r>
      <w:proofErr w:type="gramStart"/>
      <w:r w:rsidRPr="00115C44">
        <w:t>standards</w:t>
      </w:r>
      <w:proofErr w:type="gramEnd"/>
      <w:r w:rsidRPr="00115C44">
        <w:t xml:space="preserve"> but their user protection methods show major differences. The Google ecosystem achieves highest compliance results through Google Drive, Google Pay, and Gmail, while financial services show maximum risk because of their payment information collection through Venmo and Amazon and Google Pay. The most serious problem shows a consistent pattern of different privacy protections across various locations because US citizens receive substantially fewer rights about AI training data and behavioral profiling and cross-platform tracking compared to other countries. The legal system enables this situation through the existing differences between GDPR Article 21 and CCPA/VCDPA regulations. The three services that show best practices through their universal rights extension at Spotify, their update notifications at Discord, and their pledge against non-retroactive weakening at Amazon prove that major platforms can establish effective privacy protections. These practices should become industry standards rather than competitive differentiators. The privacy situation continues to be divided because organizations show excellent compliance with 95% or higher yet maintain practices that include public-default transactions and policy changes and post-closure sharing activities. The industry needs to adopt best practices while regulatory bodies need to create new rules that close existing gaps in their current systems to achieve effective development.</w:t>
      </w:r>
    </w:p>
    <w:sectPr w:rsidR="001905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414C6"/>
    <w:multiLevelType w:val="hybridMultilevel"/>
    <w:tmpl w:val="96FA7000"/>
    <w:lvl w:ilvl="0" w:tplc="15BAD1AA">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7D11B9"/>
    <w:multiLevelType w:val="multilevel"/>
    <w:tmpl w:val="34F86B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7E417A"/>
    <w:multiLevelType w:val="hybridMultilevel"/>
    <w:tmpl w:val="66B0E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042187"/>
    <w:multiLevelType w:val="hybridMultilevel"/>
    <w:tmpl w:val="CB1A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63369"/>
    <w:multiLevelType w:val="hybridMultilevel"/>
    <w:tmpl w:val="0CF6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948765">
    <w:abstractNumId w:val="8"/>
  </w:num>
  <w:num w:numId="2" w16cid:durableId="502355335">
    <w:abstractNumId w:val="6"/>
  </w:num>
  <w:num w:numId="3" w16cid:durableId="623120295">
    <w:abstractNumId w:val="5"/>
  </w:num>
  <w:num w:numId="4" w16cid:durableId="165679996">
    <w:abstractNumId w:val="4"/>
  </w:num>
  <w:num w:numId="5" w16cid:durableId="749812137">
    <w:abstractNumId w:val="7"/>
  </w:num>
  <w:num w:numId="6" w16cid:durableId="1834030043">
    <w:abstractNumId w:val="3"/>
  </w:num>
  <w:num w:numId="7" w16cid:durableId="582222446">
    <w:abstractNumId w:val="2"/>
  </w:num>
  <w:num w:numId="8" w16cid:durableId="1511719303">
    <w:abstractNumId w:val="1"/>
  </w:num>
  <w:num w:numId="9" w16cid:durableId="1843205799">
    <w:abstractNumId w:val="0"/>
  </w:num>
  <w:num w:numId="10" w16cid:durableId="1100953876">
    <w:abstractNumId w:val="8"/>
  </w:num>
  <w:num w:numId="11" w16cid:durableId="1769038573">
    <w:abstractNumId w:val="13"/>
  </w:num>
  <w:num w:numId="12" w16cid:durableId="796681775">
    <w:abstractNumId w:val="10"/>
  </w:num>
  <w:num w:numId="13" w16cid:durableId="1896509324">
    <w:abstractNumId w:val="11"/>
  </w:num>
  <w:num w:numId="14" w16cid:durableId="1153255413">
    <w:abstractNumId w:val="12"/>
  </w:num>
  <w:num w:numId="15" w16cid:durableId="1201742726">
    <w:abstractNumId w:val="9"/>
  </w:num>
  <w:num w:numId="16" w16cid:durableId="2021808004">
    <w:abstractNumId w:val="8"/>
  </w:num>
  <w:num w:numId="17" w16cid:durableId="631786449">
    <w:abstractNumId w:val="8"/>
  </w:num>
  <w:num w:numId="18" w16cid:durableId="558857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C44"/>
    <w:rsid w:val="0015074B"/>
    <w:rsid w:val="00190529"/>
    <w:rsid w:val="0029639D"/>
    <w:rsid w:val="0030607C"/>
    <w:rsid w:val="00326F90"/>
    <w:rsid w:val="009C1A52"/>
    <w:rsid w:val="00AA1D8D"/>
    <w:rsid w:val="00B47730"/>
    <w:rsid w:val="00CB0664"/>
    <w:rsid w:val="00E64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B6C99"/>
  <w14:defaultImageDpi w14:val="300"/>
  <w15:docId w15:val="{7A33BB8C-7055-7448-96C4-25CBC223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Momina Liaqat Ali</cp:lastModifiedBy>
  <cp:revision>3</cp:revision>
  <dcterms:created xsi:type="dcterms:W3CDTF">2013-12-23T23:15:00Z</dcterms:created>
  <dcterms:modified xsi:type="dcterms:W3CDTF">2026-04-15T22:02:00Z</dcterms:modified>
  <cp:category/>
</cp:coreProperties>
</file>