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4061"/>
          <w:sz w:val="34"/>
          <w:szCs w:val="34"/>
        </w:rPr>
        <w:t xml:space="preserve">Bill Explanation &amp; Credit Quality — Speaking Notes</w:t>
      </w:r>
    </w:p>
    <w:p>
      <w:pPr>
        <w:spacing w:after="100"/>
      </w:pPr>
      <w:r>
        <w:rPr>
          <w:i/>
          <w:iCs/>
          <w:color w:val="44546A"/>
          <w:sz w:val="22"/>
          <w:szCs w:val="22"/>
        </w:rPr>
        <w:t xml:space="preserve">For Jonathan's Top-12 Call Drivers Presentation</w:t>
      </w:r>
    </w:p>
    <w:p>
      <w:pPr>
        <w:spacing w:after="200"/>
      </w:pPr>
      <w:r>
        <w:rPr>
          <w:i/>
          <w:iCs/>
          <w:color w:val="44546A"/>
          <w:sz w:val="19"/>
          <w:szCs w:val="19"/>
        </w:rPr>
        <w:t xml:space="preserve">Prepared by Momna Ali</w:t>
      </w:r>
    </w:p>
    <w:p>
      <w:pPr>
        <w:pBdr>
          <w:bottom w:val="single" w:color="D7DCE2" w:sz="6" w:space="4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004061"/>
          <w:sz w:val="30"/>
          <w:szCs w:val="30"/>
        </w:rPr>
        <w:t xml:space="preserve">Slide 1 — Bill Explanation Calls: Spanish Speakers Call ~1.5x More Often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What to say: Spanish-speaking customers call for bill explanations at nearly 1.5 times the rate of English-speaking customers — 16.9% of their calls are bill-explanation related, versus 10.9% for English speakers. This was confirmed two separate ways: once using AI call classification, and independently using a transcript-based review — both point to the same conclusion, so it's a solid finding, not a one-off.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Walk the root cause next: when we read the actual call summaries, the confusion consistently centers on credits and negative balances. Customers are repeatedly confused by deposit refunds, referral credits, and assistance-agency credits appearing on their bill — several didn't realize a credit meant they didn't owe anything, and a few even mistook a credit for a charge.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Mention the specific trigger, if useful context: this investigation started after an untranslated line item (“Summer Saver Credit”) showed up on a Spanish-language bill — but the data shows that's just one example of a bigger, repeatable pattern, not an isolated glitch.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Close with the structural piece: our self-service portal is English-only, so Spanish speakers who want to set up a payment arrangement on their own have more friction doing so — which likely pushes more of them toward calling in instead of self-serving.</w:t>
      </w:r>
    </w:p>
    <w:p>
      <w:pPr>
        <w:spacing w:after="40"/>
      </w:pPr>
      <w:r>
        <w:rPr>
          <w:i/>
          <w:iCs/>
          <w:color w:val="44546A"/>
          <w:sz w:val="19"/>
          <w:szCs w:val="19"/>
        </w:rPr>
        <w:t xml:space="preserve">Say something like:</w:t>
      </w:r>
    </w:p>
    <w:p>
      <w:pPr>
        <w:spacing w:after="160"/>
      </w:pPr>
      <w:r>
        <w:rPr>
          <w:i/>
          <w:iCs/>
          <w:color w:val="44546A"/>
          <w:sz w:val="20"/>
          <w:szCs w:val="20"/>
        </w:rPr>
        <w:t xml:space="preserve">“Spanish-speaking customers call about their bill nearly one and a half times as often as English speakers, and we've confirmed this two different ways. When we read the actual call notes, the confusion is almost always about credits — refunds, referral credits, assistance credits — customers aren't sure if a credit means they owe money or not. And since our self-service portal is English-only, that adds friction for Spanish speakers trying to handle this on their own.”</w:t>
      </w:r>
    </w:p>
    <w:p>
      <w:pPr>
        <w:pBdr>
          <w:bottom w:val="single" w:color="D7DCE2" w:sz="6" w:space="4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004061"/>
          <w:sz w:val="30"/>
          <w:szCs w:val="30"/>
        </w:rPr>
        <w:t xml:space="preserve">Slide 2 — Credit Quality Predicts Call Frequency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What to say: this confirms something with real, hard numbers — customers with lower credit scores call us meaningfully more often than customers with higher credit scores, and this holds true no matter how big their bill is.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Walk the table row by row: at bills of $200 to $300, lower-credit customers call about 1.01 times over six months, compared to 0.39 times for higher-credit customers — 2.6 times more. That gap holds and even grows as bills get bigger: 2.7 times more at $300 to $400, and 3 times more at $400 or above.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shd w:fill="004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Size</w:t>
            </w:r>
          </w:p>
        </w:tc>
        <w:tc>
          <w:tcPr>
            <w:tcW w:type="dxa" w:w="2400"/>
            <w:shd w:fill="004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Credit (500 or below)</w:t>
            </w:r>
          </w:p>
        </w:tc>
        <w:tc>
          <w:tcPr>
            <w:tcW w:type="dxa" w:w="2400"/>
            <w:shd w:fill="004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 Credit (700 or above)</w:t>
            </w:r>
          </w:p>
        </w:tc>
        <w:tc>
          <w:tcPr>
            <w:tcW w:type="dxa" w:w="2000"/>
            <w:shd w:fill="004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Much More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$200–$300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1.01 calls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0.39 calls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2.6x more</w:t>
            </w:r>
          </w:p>
        </w:tc>
      </w:tr>
      <w:tr>
        <w:tc>
          <w:tcPr>
            <w:tcW w:type="dxa" w:w="2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$300–$400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1.09 calls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0.40 calls</w:t>
            </w:r>
          </w:p>
        </w:tc>
        <w:tc>
          <w:tcPr>
            <w:tcW w:type="dxa" w:w="2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2.7x more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$400+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1.28 calls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0.43 calls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3C3C3C"/>
                <w:sz w:val="20"/>
                <w:szCs w:val="20"/>
              </w:rPr>
              <w:t xml:space="preserve">3.0x more</w:t>
            </w:r>
          </w:p>
        </w:tc>
      </w:tr>
    </w:tbl>
    <w:p>
      <w:pPr>
        <w:spacing w:after="200" w:before="100"/>
      </w:pPr>
      <w:r>
        <w:rPr>
          <w:i/>
          <w:iCs/>
          <w:color w:val="44546A"/>
          <w:sz w:val="18"/>
          <w:szCs w:val="18"/>
        </w:rPr>
        <w:t xml:space="preserve">Average number of calls per customer, over 6 months.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Land the key point clearly: since the bill size is identical within each row, and the gap still holds, this proves credit score — not bill size — is the real driver of call frequency.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Close with the business implication: this gives a real, measurable number to a conversation that's mostly been based on instinct so far — which customers cost more to serve. It's directly relevant to underwriting standards, deposit policy, and deciding which customers might need proactive outreach before they ever call in.</w:t>
      </w:r>
    </w:p>
    <w:p>
      <w:pPr>
        <w:spacing w:after="40"/>
      </w:pPr>
      <w:r>
        <w:rPr>
          <w:i/>
          <w:iCs/>
          <w:color w:val="44546A"/>
          <w:sz w:val="19"/>
          <w:szCs w:val="19"/>
        </w:rPr>
        <w:t xml:space="preserve">Say something like:</w:t>
      </w:r>
    </w:p>
    <w:p>
      <w:pPr>
        <w:spacing w:after="160"/>
      </w:pPr>
      <w:r>
        <w:rPr>
          <w:i/>
          <w:iCs/>
          <w:color w:val="44546A"/>
          <w:sz w:val="20"/>
          <w:szCs w:val="20"/>
        </w:rPr>
        <w:t xml:space="preserve">“At every bill size we tested, customers with lower credit scores call us two-point-six to three times more often than customers with higher credit scores. Since the bill size is the same within each comparison, this tells us credit score itself — not the size of the bill — is driving the difference. That's a real, measurable number we can use in the cost-to-serve conversation.”</w:t>
      </w:r>
    </w:p>
    <w:p>
      <w:pPr>
        <w:pBdr>
          <w:bottom w:val="single" w:color="D7DCE2" w:sz="6" w:space="4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004061"/>
          <w:sz w:val="30"/>
          <w:szCs w:val="30"/>
        </w:rPr>
        <w:t xml:space="preserve">If Asked...</w:t>
      </w:r>
    </w:p>
    <w:p>
      <w:pPr>
        <w:pStyle w:val="Heading2"/>
        <w:spacing w:after="100" w:before="200"/>
      </w:pPr>
      <w:r>
        <w:rPr>
          <w:b/>
          <w:bCs/>
          <w:color w:val="005CB9"/>
          <w:sz w:val="24"/>
          <w:szCs w:val="24"/>
        </w:rPr>
        <w:t xml:space="preserve">How big is the sample behind the language finding?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145,896 English calls and 52,567 Spanish calls — a large enough sample that the 1.5x gap is a real, stable pattern, not noise.</w:t>
      </w:r>
    </w:p>
    <w:p>
      <w:pPr>
        <w:pStyle w:val="Heading2"/>
        <w:spacing w:after="100" w:before="200"/>
      </w:pPr>
      <w:r>
        <w:rPr>
          <w:b/>
          <w:bCs/>
          <w:color w:val="005CB9"/>
          <w:sz w:val="24"/>
          <w:szCs w:val="24"/>
        </w:rPr>
        <w:t xml:space="preserve">Is the credit-score finding just because lower-credit customers have bigger bills?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No — we specifically controlled for that by comparing customers at the same bill size, just different credit scores. The gap held at every bill size we checked.</w:t>
      </w:r>
    </w:p>
    <w:p>
      <w:pPr>
        <w:pStyle w:val="Heading2"/>
        <w:spacing w:after="100" w:before="200"/>
      </w:pPr>
      <w:r>
        <w:rPr>
          <w:b/>
          <w:bCs/>
          <w:color w:val="005CB9"/>
          <w:sz w:val="24"/>
          <w:szCs w:val="24"/>
        </w:rPr>
        <w:t xml:space="preserve">What should we actually do with the credit-quality finding?</w:t>
      </w:r>
    </w:p>
    <w:p>
      <w:pPr>
        <w:spacing w:after="140"/>
      </w:pPr>
      <w:r>
        <w:rPr>
          <w:color w:val="3C3C3C"/>
          <w:sz w:val="21"/>
          <w:szCs w:val="21"/>
        </w:rPr>
        <w:t xml:space="preserve">It's a candidate input for underwriting and deposit-policy conversations — not a directive on its own, but real evidence that credit quality has a measurable cost-to-serve impact worth factoring into acquisition standards.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2026-08-06T13:45:56.823Z</dcterms:created>
  <dcterms:modified xsi:type="dcterms:W3CDTF">2026-08-06T13:45:56.826Z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