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ahier-des-charges-opérationnel"/>
    <w:p>
      <w:pPr>
        <w:spacing w:before="600" w:after="0"/>
      </w:pPr>
    </w:p>
    <w:p>
      <w:pPr>
        <w:spacing w:before="0" w:after="60"/>
        <w:jc w:val="left"/>
      </w:pPr>
      <w:r>
        <w:rPr>
          <w:b/>
          <w:color w:val="E4B95B"/>
          <w:sz w:val="24"/>
          <w:szCs w:val="24"/>
        </w:rPr>
        <w:t xml:space="preserve">PROJET DAF 360</w:t>
      </w:r>
    </w:p>
    <w:p>
      <w:pPr>
        <w:spacing w:before="0" w:after="80"/>
        <w:jc w:val="left"/>
      </w:pPr>
      <w:r>
        <w:rPr>
          <w:b/>
          <w:color w:val="1E2761"/>
          <w:sz w:val="56"/>
          <w:szCs w:val="56"/>
        </w:rPr>
        <w:t xml:space="preserve">Cahier des charges opérationnel</w:t>
      </w:r>
    </w:p>
    <w:p>
      <w:pPr>
        <w:spacing w:before="0" w:after="200"/>
        <w:jc w:val="left"/>
      </w:pPr>
      <w:r>
        <w:rPr>
          <w:color w:val="2C3A7A"/>
          <w:sz w:val="26"/>
          <w:szCs w:val="26"/>
        </w:rPr>
        <w:t xml:space="preserve">Plateforme SaaS de pilotage financier, comptable, fiscal, social et juridique</w:t>
      </w:r>
    </w:p>
    <w:p>
      <w:pPr>
        <w:spacing w:before="0" w:after="60"/>
        <w:jc w:val="left"/>
      </w:pPr>
      <w:r>
        <w:rPr>
          <w:color w:val="5B6480"/>
          <w:sz w:val="22"/>
          <w:szCs w:val="22"/>
        </w:rPr>
        <w:t xml:space="preserve">Document technique &amp; conception — destiné à l’équipe de développement</w:t>
      </w:r>
    </w:p>
    <w:p>
      <w:pPr>
        <w:spacing w:before="0" w:after="400"/>
        <w:jc w:val="left"/>
      </w:pPr>
      <w:r>
        <w:rPr>
          <w:color w:val="5B6480"/>
          <w:sz w:val="22"/>
          <w:szCs w:val="22"/>
        </w:rPr>
        <w:t xml:space="preserve">Périmètre : V1 (livrable commercialisable) avec prospectives V2</w:t>
      </w:r>
    </w:p>
    <w:p>
      <w:pPr>
        <w:spacing w:before="0" w:after="40"/>
        <w:jc w:val="left"/>
      </w:pPr>
      <w:r>
        <w:rPr>
          <w:b/>
          <w:color w:val="1E2761"/>
          <w:sz w:val="20"/>
          <w:szCs w:val="20"/>
        </w:rPr>
        <w:t xml:space="preserve">Groupe ARCAN · Lindbergh Formation — Direction de la Stratégie Digitale</w:t>
      </w:r>
    </w:p>
    <w:p>
      <w:pPr>
        <w:spacing w:before="0" w:after="500"/>
        <w:jc w:val="left"/>
      </w:pPr>
      <w:r>
        <w:rPr>
          <w:color w:val="5B6480"/>
          <w:sz w:val="18"/>
          <w:szCs w:val="18"/>
        </w:rPr>
        <w:t xml:space="preserve">Version 1.0 — Juillet 2026 · Document confidentiel</w:t>
      </w:r>
    </w:p>
    <w:p>
      <w:pPr>
        <w:spacing w:before="0" w:after="80"/>
        <w:jc w:val="left"/>
      </w:pPr>
      <w:r>
        <w:rPr>
          <w:b/>
          <w:color w:val="1E2761"/>
          <w:sz w:val="20"/>
          <w:szCs w:val="20"/>
        </w:rPr>
        <w:t xml:space="preserve">Charte couleur du produit</w:t>
      </w:r>
    </w:p>
    <w:tbl>
      <w:tblPr>
        <w:tblW w:type="dxa" w:w="9360"/>
      </w:tblPr>
      <w:tblGrid>
        <w:gridCol w:w="1560"/>
        <w:gridCol w:w="1560"/>
        <w:gridCol w:w="1560"/>
        <w:gridCol w:w="1560"/>
        <w:gridCol w:w="1560"/>
        <w:gridCol w:w="1560"/>
      </w:tblGrid>
      <w:tr>
        <w:tc>
          <w:tcPr>
            <w:tcW w:type="dxa" w:w="1560"/>
            <w:shd w:val="clear" w:color="auto" w:fill="1E2761"/>
            <w:vAlign w:val="center"/>
          </w:tcPr>
          <w:p>
            <w:pPr>
              <w:jc w:val="center"/>
              <w:spacing w:before="120" w:after="120"/>
            </w:pPr>
            <w:r>
              <w:rPr>
                <w:b/>
                <w:color w:val="FFFFFF"/>
                <w:sz w:val="18"/>
              </w:rPr>
              <w:t xml:space="preserve">Marine</w:t>
            </w:r>
          </w:p>
          <w:p>
            <w:pPr>
              <w:jc w:val="center"/>
              <w:spacing w:before="0" w:after="120"/>
            </w:pPr>
            <w:r>
              <w:rPr>
                <w:color w:val="FFFFFF"/>
                <w:sz w:val="14"/>
              </w:rPr>
              <w:t xml:space="preserve">#1E2761</w:t>
            </w:r>
          </w:p>
        </w:tc>
        <w:tc>
          <w:tcPr>
            <w:tcW w:type="dxa" w:w="1560"/>
            <w:shd w:val="clear" w:color="auto" w:fill="2C3A7A"/>
            <w:vAlign w:val="center"/>
          </w:tcPr>
          <w:p>
            <w:pPr>
              <w:jc w:val="center"/>
              <w:spacing w:before="120" w:after="120"/>
            </w:pPr>
            <w:r>
              <w:rPr>
                <w:b/>
                <w:color w:val="FFFFFF"/>
                <w:sz w:val="18"/>
              </w:rPr>
              <w:t xml:space="preserve">Ardoise</w:t>
            </w:r>
          </w:p>
          <w:p>
            <w:pPr>
              <w:jc w:val="center"/>
              <w:spacing w:before="0" w:after="120"/>
            </w:pPr>
            <w:r>
              <w:rPr>
                <w:color w:val="FFFFFF"/>
                <w:sz w:val="14"/>
              </w:rPr>
              <w:t xml:space="preserve">#2C3A7A</w:t>
            </w:r>
          </w:p>
        </w:tc>
        <w:tc>
          <w:tcPr>
            <w:tcW w:type="dxa" w:w="1560"/>
            <w:shd w:val="clear" w:color="auto" w:fill="CADCFC"/>
            <w:vAlign w:val="center"/>
          </w:tcPr>
          <w:p>
            <w:pPr>
              <w:jc w:val="center"/>
              <w:spacing w:before="120" w:after="120"/>
            </w:pPr>
            <w:r>
              <w:rPr>
                <w:b/>
                <w:color w:val="1A2238"/>
                <w:sz w:val="18"/>
              </w:rPr>
              <w:t xml:space="preserve">Glacier</w:t>
            </w:r>
          </w:p>
          <w:p>
            <w:pPr>
              <w:jc w:val="center"/>
              <w:spacing w:before="0" w:after="120"/>
            </w:pPr>
            <w:r>
              <w:rPr>
                <w:color w:val="1A2238"/>
                <w:sz w:val="14"/>
              </w:rPr>
              <w:t xml:space="preserve">#CADCFC</w:t>
            </w:r>
          </w:p>
        </w:tc>
        <w:tc>
          <w:tcPr>
            <w:tcW w:type="dxa" w:w="1560"/>
            <w:shd w:val="clear" w:color="auto" w:fill="E4B95B"/>
            <w:vAlign w:val="center"/>
          </w:tcPr>
          <w:p>
            <w:pPr>
              <w:jc w:val="center"/>
              <w:spacing w:before="120" w:after="120"/>
            </w:pPr>
            <w:r>
              <w:rPr>
                <w:b/>
                <w:color w:val="1A2238"/>
                <w:sz w:val="18"/>
              </w:rPr>
              <w:t xml:space="preserve">Or</w:t>
            </w:r>
          </w:p>
          <w:p>
            <w:pPr>
              <w:jc w:val="center"/>
              <w:spacing w:before="0" w:after="120"/>
            </w:pPr>
            <w:r>
              <w:rPr>
                <w:color w:val="1A2238"/>
                <w:sz w:val="14"/>
              </w:rPr>
              <w:t xml:space="preserve">#E4B95B</w:t>
            </w:r>
          </w:p>
        </w:tc>
        <w:tc>
          <w:tcPr>
            <w:tcW w:type="dxa" w:w="1560"/>
            <w:shd w:val="clear" w:color="auto" w:fill="2FA37C"/>
            <w:vAlign w:val="center"/>
          </w:tcPr>
          <w:p>
            <w:pPr>
              <w:jc w:val="center"/>
              <w:spacing w:before="120" w:after="120"/>
            </w:pPr>
            <w:r>
              <w:rPr>
                <w:b/>
                <w:color w:val="FFFFFF"/>
                <w:sz w:val="18"/>
              </w:rPr>
              <w:t xml:space="preserve">Succès</w:t>
            </w:r>
          </w:p>
          <w:p>
            <w:pPr>
              <w:jc w:val="center"/>
              <w:spacing w:before="0" w:after="120"/>
            </w:pPr>
            <w:r>
              <w:rPr>
                <w:color w:val="FFFFFF"/>
                <w:sz w:val="14"/>
              </w:rPr>
              <w:t xml:space="preserve">#2FA37C</w:t>
            </w:r>
          </w:p>
        </w:tc>
        <w:tc>
          <w:tcPr>
            <w:tcW w:type="dxa" w:w="1560"/>
            <w:shd w:val="clear" w:color="auto" w:fill="C0503F"/>
            <w:vAlign w:val="center"/>
          </w:tcPr>
          <w:p>
            <w:pPr>
              <w:jc w:val="center"/>
              <w:spacing w:before="120" w:after="120"/>
            </w:pPr>
            <w:r>
              <w:rPr>
                <w:b/>
                <w:color w:val="FFFFFF"/>
                <w:sz w:val="18"/>
              </w:rPr>
              <w:t xml:space="preserve">Alerte</w:t>
            </w:r>
          </w:p>
          <w:p>
            <w:pPr>
              <w:jc w:val="center"/>
              <w:spacing w:before="0" w:after="120"/>
            </w:pPr>
            <w:r>
              <w:rPr>
                <w:color w:val="FFFFFF"/>
                <w:sz w:val="14"/>
              </w:rPr>
              <w:t xml:space="preserve">#C0503F</w:t>
            </w:r>
          </w:p>
        </w:tc>
      </w:tr>
    </w:tbl>
    <w:p>
      <w:r>
        <w:br w:type="page"/>
      </w:r>
    </w:p>
    <w:p>
      <w:pPr>
        <w:pStyle w:val="Heading1"/>
      </w:pPr>
      <w:r>
        <w:t xml:space="preserve">1. Introduction et cadre du document</w:t>
      </w:r>
    </w:p>
    <w:bookmarkStart w:id="22" w:name="objet-du-document"/>
    <w:p>
      <w:pPr>
        <w:pStyle w:val="Heading2"/>
      </w:pPr>
      <w:r>
        <w:t xml:space="preserve">1.1 Objet du document</w:t>
      </w:r>
    </w:p>
    <w:p>
      <w:pPr>
        <w:pStyle w:val="FirstParagraph"/>
      </w:pPr>
      <w:r>
        <w:t xml:space="preserve">Ce cahier des charges opérationnel a pour but de fournir à l’équipe de développement l’ensemble des spécifications fonctionnelles, techniques, opérationnelles et graphiques nécessaires à la conception, au développement, au déploiement et à l’exploitation de la plateforme DAF 360 en version 1 (V1).</w:t>
      </w:r>
    </w:p>
    <w:p>
      <w:pPr>
        <w:pStyle w:val="BodyText"/>
      </w:pPr>
      <w:r>
        <w:t xml:space="preserve">Il constitue le document de référence contractuel entre la maîtrise d’ouvrage (MOA — Direction de la Stratégie Digitale) et la maîtrise d’œuvre (MOE — équipe de développement, interne ou prestataire). Toute évolution du périmètre décrit ici doit faire l’objet d’un avenant validé par le comité produit.</w:t>
      </w:r>
    </w:p>
    <w:bookmarkEnd w:id="22"/>
    <w:bookmarkStart w:id="23" w:name="positionnement-produit"/>
    <w:p>
      <w:pPr>
        <w:pStyle w:val="Heading2"/>
      </w:pPr>
      <w:r>
        <w:t xml:space="preserve">1.2 Positionnement produit</w:t>
      </w:r>
    </w:p>
    <w:p>
      <w:pPr>
        <w:pStyle w:val="FirstParagraph"/>
      </w:pPr>
      <w:r>
        <w:t xml:space="preserve">DAF 360 n’est pas un « chatbot de conseil » mais un système d’exploitation du directeur administratif et financier : il collecte, classe et contrôle les données, gère les échéances, produit des simulations, et oriente les sujets réglementés ou sensibles vers le bon professionnel humain, avec des preuves, des accès maîtrisés et une traçabilité complète.</w:t>
      </w:r>
    </w:p>
    <w:p>
      <w:pPr>
        <w:pStyle w:val="BodyText"/>
      </w:pPr>
      <w:r>
        <w:t xml:space="preserve">Principe directeur pour le développeur :</w:t>
      </w:r>
      <w:r>
        <w:t xml:space="preserve"> </w:t>
      </w:r>
      <w:r>
        <w:rPr>
          <w:bCs/>
          <w:b/>
        </w:rPr>
        <w:t xml:space="preserve">la plateforme assiste et prépare, elle ne se substitue jamais à un acte réglementé.</w:t>
      </w:r>
      <w:r>
        <w:t xml:space="preserve"> </w:t>
      </w:r>
      <w:r>
        <w:t xml:space="preserve">Aucune fonctionnalité ne doit produire, de manière autonome et non validée, une déclaration officielle, une comptabilité définitive, un conseil juridique individualisé ou une certification de comptes. Ce principe conditionne l’architecture (human-in-the-loop obligatoire sur les points sensibles) et doit être respecté à chaque étape.</w:t>
      </w:r>
    </w:p>
    <w:bookmarkEnd w:id="23"/>
    <w:bookmarkStart w:id="24" w:name="cible-utilisateur"/>
    <w:p>
      <w:pPr>
        <w:pStyle w:val="Heading2"/>
      </w:pPr>
      <w:r>
        <w:t xml:space="preserve">1.3 Cible utilisateur</w:t>
      </w:r>
    </w:p>
    <w:p>
      <w:pPr>
        <w:pStyle w:val="FirstParagraph"/>
      </w:pPr>
      <w:r>
        <w:t xml:space="preserve">La V1 vise prioritairement les TPE structurées (1 à 10 salariés) et les PME (11 à 49 salariés), avec un parcours simplifié pour les indépendants et microentreprises. Les utilisateurs types sont : le dirigeant, le DAF ou responsable administratif, le comptable interne, et les professionnels externes (expert-comptable, avocat) accédant en mode collaboration.</w:t>
      </w:r>
    </w:p>
    <w:bookmarkEnd w:id="24"/>
    <w:bookmarkStart w:id="25" w:name="enjeu-de-calendrier"/>
    <w:p>
      <w:pPr>
        <w:pStyle w:val="Heading2"/>
      </w:pPr>
      <w:r>
        <w:t xml:space="preserve">1.4 Enjeu de calendrier</w:t>
      </w:r>
    </w:p>
    <w:p>
      <w:pPr>
        <w:pStyle w:val="FirstParagraph"/>
      </w:pPr>
      <w:r>
        <w:t xml:space="preserve">Le catalyseur de marché est la facturation électronique : toutes les entreprises françaises devront pouvoir recevoir des factures électroniques au 1er septembre 2026, avec obligation d’émission échelonnée jusqu’au 1er septembre 2027 pour les TPE/PME. La V1 doit être commercialisable dans une fenêtre de 24 à 32 semaines pour capter ce moment d’acquisition.</w:t>
      </w:r>
      <w:r>
        <w:t xml:space="preserve"> </w:t>
      </w:r>
      <w:r>
        <w:rPr>
          <w:bCs/>
          <w:b/>
        </w:rPr>
        <w:t xml:space="preserve">La plateforme doit se connecter à une plateforme agréée / PDP partenaire ; elle ne développe pas de PDP propriétaire en V1.</w:t>
      </w:r>
    </w:p>
    <w:bookmarkEnd w:id="25"/>
    <w:bookmarkStart w:id="26" w:name="documents-de-référence"/>
    <w:p>
      <w:pPr>
        <w:pStyle w:val="Heading2"/>
      </w:pPr>
      <w:r>
        <w:t xml:space="preserve">1.5 Documents de référence</w:t>
      </w:r>
    </w:p>
    <w:p>
      <w:pPr>
        <w:pStyle w:val="FirstParagraph"/>
      </w:pPr>
      <w:r>
        <w:t xml:space="preserve">Ce cahier des charges découle du Business Plan de mise en œuvre DAF 360 (v3, juillet 2026), dont il approfondit les sections 4 (architecture fonctionnelle), 5 (catalogue de fonctionnalités), 6 (personnalisation) et 7 (stack technique). En cas de contradiction, le présent document technique prévaut pour les aspects de réalisation.</w:t>
      </w:r>
    </w:p>
    <w:p>
      <w:r>
        <w:pict>
          <v:rect style="width:0;height:1.5pt" o:hralign="center" o:hrstd="t" o:hr="t"/>
        </w:pict>
      </w:r>
    </w:p>
    <w:bookmarkEnd w:id="26"/>
    <w:bookmarkEnd w:id="27"/>
    <w:bookmarkStart w:id="32" w:name="objectifs-et-périmètre"/>
    <w:p>
      <w:pPr>
        <w:pStyle w:val="Heading1"/>
      </w:pPr>
      <w:r>
        <w:t xml:space="preserve">2. Objectifs et périmètre</w:t>
      </w:r>
    </w:p>
    <w:bookmarkStart w:id="28" w:name="objectifs-mesurables-de-la-v1"/>
    <w:p>
      <w:pPr>
        <w:pStyle w:val="Heading2"/>
      </w:pPr>
      <w:r>
        <w:t xml:space="preserve">2.1 Objectifs mesurables de la V1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Objectif</w:t>
            </w:r>
          </w:p>
        </w:tc>
        <w:tc>
          <w:tcPr>
            <w:shd w:val="clear" w:color="auto" w:fill="1E2761"/>
            <w:vAlign w:val="center"/>
          </w:tcPr>
          <w:p>
            <w:pPr>
              <w:pStyle w:val="Compact"/>
              <w:jc w:val="left"/>
            </w:pPr>
            <w:r>
              <w:rPr>
                <w:b/>
                <w:color w:val="FFFFFF"/>
              </w:rPr>
              <w:t xml:space="preserve">Indicateur</w:t>
            </w:r>
          </w:p>
        </w:tc>
        <w:tc>
          <w:tcPr>
            <w:shd w:val="clear" w:color="auto" w:fill="1E2761"/>
            <w:vAlign w:val="center"/>
          </w:tcPr>
          <w:p>
            <w:pPr>
              <w:pStyle w:val="Compact"/>
              <w:jc w:val="left"/>
            </w:pPr>
            <w:r>
              <w:rPr>
                <w:b/>
                <w:color w:val="FFFFFF"/>
              </w:rPr>
              <w:t xml:space="preserve">Cible V1</w:t>
            </w:r>
          </w:p>
        </w:tc>
      </w:tr>
      <w:tr>
        <w:tc>
          <w:tcPr/>
          <w:p>
            <w:pPr>
              <w:pStyle w:val="Compact"/>
              <w:jc w:val="left"/>
            </w:pPr>
            <w:r>
              <w:t xml:space="preserve">Activation rapide</w:t>
            </w:r>
          </w:p>
        </w:tc>
        <w:tc>
          <w:tcPr/>
          <w:p>
            <w:pPr>
              <w:pStyle w:val="Compact"/>
              <w:jc w:val="left"/>
            </w:pPr>
            <w:r>
              <w:t xml:space="preserve">% d’entreprises ayant connecté ou déposé 3 sources de données sous 7 jours</w:t>
            </w:r>
          </w:p>
        </w:tc>
        <w:tc>
          <w:tcPr/>
          <w:p>
            <w:pPr>
              <w:pStyle w:val="Compact"/>
              <w:jc w:val="left"/>
            </w:pPr>
            <w:r>
              <w:t xml:space="preserve">&gt; 55 %</w:t>
            </w:r>
          </w:p>
        </w:tc>
      </w:tr>
      <w:tr>
        <w:tc>
          <w:tcPr/>
          <w:p>
            <w:pPr>
              <w:pStyle w:val="Compact"/>
              <w:jc w:val="left"/>
            </w:pPr>
            <w:r>
              <w:t xml:space="preserve">Time-to-value</w:t>
            </w:r>
          </w:p>
        </w:tc>
        <w:tc>
          <w:tcPr/>
          <w:p>
            <w:pPr>
              <w:pStyle w:val="Compact"/>
              <w:jc w:val="left"/>
            </w:pPr>
            <w:r>
              <w:t xml:space="preserve">Délai jusqu’au premier cockpit cash / calendrier fiable</w:t>
            </w:r>
          </w:p>
        </w:tc>
        <w:tc>
          <w:tcPr/>
          <w:p>
            <w:pPr>
              <w:pStyle w:val="Compact"/>
              <w:jc w:val="left"/>
            </w:pPr>
            <w:r>
              <w:t xml:space="preserve">&lt; 60 minutes après import/connexion</w:t>
            </w:r>
          </w:p>
        </w:tc>
      </w:tr>
      <w:tr>
        <w:tc>
          <w:tcPr/>
          <w:p>
            <w:pPr>
              <w:pStyle w:val="Compact"/>
              <w:jc w:val="left"/>
            </w:pPr>
            <w:r>
              <w:t xml:space="preserve">Qualité des données</w:t>
            </w:r>
          </w:p>
        </w:tc>
        <w:tc>
          <w:tcPr/>
          <w:p>
            <w:pPr>
              <w:pStyle w:val="Compact"/>
              <w:jc w:val="left"/>
            </w:pPr>
            <w:r>
              <w:t xml:space="preserve">% de pièces classées sans correction manuelle</w:t>
            </w:r>
          </w:p>
        </w:tc>
        <w:tc>
          <w:tcPr/>
          <w:p>
            <w:pPr>
              <w:pStyle w:val="Compact"/>
              <w:jc w:val="left"/>
            </w:pPr>
            <w:r>
              <w:t xml:space="preserve">&gt; 85 %</w:t>
            </w:r>
          </w:p>
        </w:tc>
      </w:tr>
      <w:tr>
        <w:tc>
          <w:tcPr/>
          <w:p>
            <w:pPr>
              <w:pStyle w:val="Compact"/>
              <w:jc w:val="left"/>
            </w:pPr>
            <w:r>
              <w:t xml:space="preserve">Fiabilité</w:t>
            </w:r>
          </w:p>
        </w:tc>
        <w:tc>
          <w:tcPr/>
          <w:p>
            <w:pPr>
              <w:pStyle w:val="Compact"/>
              <w:jc w:val="left"/>
            </w:pPr>
            <w:r>
              <w:t xml:space="preserve">Disponibilité de la plateforme (uptime)</w:t>
            </w:r>
          </w:p>
        </w:tc>
        <w:tc>
          <w:tcPr/>
          <w:p>
            <w:pPr>
              <w:pStyle w:val="Compact"/>
              <w:jc w:val="left"/>
            </w:pPr>
            <w:r>
              <w:t xml:space="preserve">≥ 99,5 %</w:t>
            </w:r>
          </w:p>
        </w:tc>
      </w:tr>
      <w:tr>
        <w:tc>
          <w:tcPr/>
          <w:p>
            <w:pPr>
              <w:pStyle w:val="Compact"/>
              <w:jc w:val="left"/>
            </w:pPr>
            <w:r>
              <w:t xml:space="preserve">Performance</w:t>
            </w:r>
          </w:p>
        </w:tc>
        <w:tc>
          <w:tcPr/>
          <w:p>
            <w:pPr>
              <w:pStyle w:val="Compact"/>
              <w:jc w:val="left"/>
            </w:pPr>
            <w:r>
              <w:t xml:space="preserve">Temps de chargement des écrans principaux</w:t>
            </w:r>
          </w:p>
        </w:tc>
        <w:tc>
          <w:tcPr/>
          <w:p>
            <w:pPr>
              <w:pStyle w:val="Compact"/>
              <w:jc w:val="left"/>
            </w:pPr>
            <w:r>
              <w:t xml:space="preserve">&lt; 2 s (P95)</w:t>
            </w:r>
          </w:p>
        </w:tc>
      </w:tr>
      <w:tr>
        <w:tc>
          <w:tcPr/>
          <w:p>
            <w:pPr>
              <w:pStyle w:val="Compact"/>
              <w:jc w:val="left"/>
            </w:pPr>
            <w:r>
              <w:t xml:space="preserve">Conformité</w:t>
            </w:r>
          </w:p>
        </w:tc>
        <w:tc>
          <w:tcPr/>
          <w:p>
            <w:pPr>
              <w:pStyle w:val="Compact"/>
              <w:jc w:val="left"/>
            </w:pPr>
            <w:r>
              <w:t xml:space="preserve">Hébergement et traitement des données</w:t>
            </w:r>
          </w:p>
        </w:tc>
        <w:tc>
          <w:tcPr/>
          <w:p>
            <w:pPr>
              <w:pStyle w:val="Compact"/>
              <w:jc w:val="left"/>
            </w:pPr>
            <w:r>
              <w:t xml:space="preserve">100 % UE, conforme RGPD</w:t>
            </w:r>
          </w:p>
        </w:tc>
      </w:tr>
    </w:tbl>
    <w:bookmarkEnd w:id="28"/>
    <w:bookmarkStart w:id="29" w:name="périmètre-fonctionnel-v1-inclus"/>
    <w:p>
      <w:pPr>
        <w:pStyle w:val="Heading2"/>
      </w:pPr>
      <w:r>
        <w:t xml:space="preserve">2.2 Périmètre fonctionnel V1 (inclus)</w:t>
      </w:r>
    </w:p>
    <w:p>
      <w:pPr>
        <w:pStyle w:val="FirstParagraph"/>
      </w:pPr>
      <w:r>
        <w:t xml:space="preserve">La V1 comprend le socle suivant :</w:t>
      </w:r>
    </w:p>
    <w:p>
      <w:pPr>
        <w:numPr>
          <w:ilvl w:val="0"/>
          <w:numId w:val="1001"/>
        </w:numPr>
        <w:pStyle w:val="Compact"/>
      </w:pPr>
      <w:r>
        <w:t xml:space="preserve">Onboarding adaptatif et cartographie de l’entreprise</w:t>
      </w:r>
    </w:p>
    <w:p>
      <w:pPr>
        <w:numPr>
          <w:ilvl w:val="0"/>
          <w:numId w:val="1001"/>
        </w:numPr>
        <w:pStyle w:val="Compact"/>
      </w:pPr>
      <w:r>
        <w:t xml:space="preserve">Coffre-fort documentaire avec OCR et classement</w:t>
      </w:r>
    </w:p>
    <w:p>
      <w:pPr>
        <w:numPr>
          <w:ilvl w:val="0"/>
          <w:numId w:val="1001"/>
        </w:numPr>
        <w:pStyle w:val="Compact"/>
      </w:pPr>
      <w:r>
        <w:t xml:space="preserve">Calendrier intelligent des obligations</w:t>
      </w:r>
    </w:p>
    <w:p>
      <w:pPr>
        <w:numPr>
          <w:ilvl w:val="0"/>
          <w:numId w:val="1001"/>
        </w:numPr>
        <w:pStyle w:val="Compact"/>
      </w:pPr>
      <w:r>
        <w:t xml:space="preserve">Cockpit de trésorerie (cash) simplifié</w:t>
      </w:r>
    </w:p>
    <w:p>
      <w:pPr>
        <w:numPr>
          <w:ilvl w:val="0"/>
          <w:numId w:val="1001"/>
        </w:numPr>
        <w:pStyle w:val="Compact"/>
      </w:pPr>
      <w:r>
        <w:t xml:space="preserve">Capture et pré-traitement des factures (OCR)</w:t>
      </w:r>
    </w:p>
    <w:p>
      <w:pPr>
        <w:numPr>
          <w:ilvl w:val="0"/>
          <w:numId w:val="1001"/>
        </w:numPr>
        <w:pStyle w:val="Compact"/>
      </w:pPr>
      <w:r>
        <w:t xml:space="preserve">Contrôle de préparation à la facturation électronique (réception)</w:t>
      </w:r>
    </w:p>
    <w:p>
      <w:pPr>
        <w:numPr>
          <w:ilvl w:val="0"/>
          <w:numId w:val="1001"/>
        </w:numPr>
        <w:pStyle w:val="Compact"/>
      </w:pPr>
      <w:r>
        <w:t xml:space="preserve">Assistant IA sécurisé et sourcé (périmètre restreint)</w:t>
      </w:r>
    </w:p>
    <w:p>
      <w:pPr>
        <w:numPr>
          <w:ilvl w:val="0"/>
          <w:numId w:val="1001"/>
        </w:numPr>
        <w:pStyle w:val="Compact"/>
      </w:pPr>
      <w:r>
        <w:t xml:space="preserve">Data room et partage sécurisé avec les professionnels</w:t>
      </w:r>
    </w:p>
    <w:p>
      <w:pPr>
        <w:numPr>
          <w:ilvl w:val="0"/>
          <w:numId w:val="1001"/>
        </w:numPr>
        <w:pStyle w:val="Compact"/>
      </w:pPr>
      <w:r>
        <w:t xml:space="preserve">Visioconférence intégrée (salle de décision)</w:t>
      </w:r>
    </w:p>
    <w:p>
      <w:pPr>
        <w:numPr>
          <w:ilvl w:val="0"/>
          <w:numId w:val="1001"/>
        </w:numPr>
        <w:pStyle w:val="Compact"/>
      </w:pPr>
      <w:r>
        <w:t xml:space="preserve">Centre d’actions et gestion des tâches</w:t>
      </w:r>
    </w:p>
    <w:p>
      <w:pPr>
        <w:numPr>
          <w:ilvl w:val="0"/>
          <w:numId w:val="1001"/>
        </w:numPr>
        <w:pStyle w:val="Compact"/>
      </w:pPr>
      <w:r>
        <w:t xml:space="preserve">Gestion des droits, des rôles et journal d’audit</w:t>
      </w:r>
    </w:p>
    <w:bookmarkEnd w:id="29"/>
    <w:bookmarkStart w:id="30" w:name="hors-périmètre-v1-exclusions-explicites"/>
    <w:p>
      <w:pPr>
        <w:pStyle w:val="Heading2"/>
      </w:pPr>
      <w:r>
        <w:t xml:space="preserve">2.3 Hors périmètre V1 (exclusions explicites)</w:t>
      </w:r>
    </w:p>
    <w:p>
      <w:pPr>
        <w:pStyle w:val="FirstParagraph"/>
      </w:pPr>
      <w:r>
        <w:t xml:space="preserve">Pour éviter toute dérive de charge, sont</w:t>
      </w:r>
      <w:r>
        <w:t xml:space="preserve"> </w:t>
      </w:r>
      <w:r>
        <w:rPr>
          <w:bCs/>
          <w:b/>
        </w:rPr>
        <w:t xml:space="preserve">explicitement exclus de la V1</w:t>
      </w:r>
      <w:r>
        <w:t xml:space="preserve"> </w:t>
      </w:r>
      <w:r>
        <w:t xml:space="preserve">:</w:t>
      </w:r>
    </w:p>
    <w:p>
      <w:pPr>
        <w:numPr>
          <w:ilvl w:val="0"/>
          <w:numId w:val="1002"/>
        </w:numPr>
        <w:pStyle w:val="Compact"/>
      </w:pPr>
      <w:r>
        <w:t xml:space="preserve">Le développement d’une PDP (plateforme de dématérialisation) propriétaire</w:t>
      </w:r>
    </w:p>
    <w:p>
      <w:pPr>
        <w:numPr>
          <w:ilvl w:val="0"/>
          <w:numId w:val="1002"/>
        </w:numPr>
        <w:pStyle w:val="Compact"/>
      </w:pPr>
      <w:r>
        <w:t xml:space="preserve">Un moteur de paie complet et la production de DSN</w:t>
      </w:r>
    </w:p>
    <w:p>
      <w:pPr>
        <w:numPr>
          <w:ilvl w:val="0"/>
          <w:numId w:val="1002"/>
        </w:numPr>
        <w:pStyle w:val="Compact"/>
      </w:pPr>
      <w:r>
        <w:t xml:space="preserve">Un moteur EDI propre pour la télétransmission fiscale</w:t>
      </w:r>
    </w:p>
    <w:p>
      <w:pPr>
        <w:numPr>
          <w:ilvl w:val="0"/>
          <w:numId w:val="1002"/>
        </w:numPr>
        <w:pStyle w:val="Compact"/>
      </w:pPr>
      <w:r>
        <w:t xml:space="preserve">La tenue de comptabilité pour le compte de tiers de manière autonome</w:t>
      </w:r>
    </w:p>
    <w:p>
      <w:pPr>
        <w:numPr>
          <w:ilvl w:val="0"/>
          <w:numId w:val="1002"/>
        </w:numPr>
        <w:pStyle w:val="Compact"/>
      </w:pPr>
      <w:r>
        <w:t xml:space="preserve">Le conseil juridique ou fiscal individualisé automatisé</w:t>
      </w:r>
    </w:p>
    <w:p>
      <w:pPr>
        <w:numPr>
          <w:ilvl w:val="0"/>
          <w:numId w:val="1002"/>
        </w:numPr>
        <w:pStyle w:val="Compact"/>
      </w:pPr>
      <w:r>
        <w:t xml:space="preserve">La consolidation multi-entités et le SSO entreprise (prévus V2/V3)</w:t>
      </w:r>
    </w:p>
    <w:p>
      <w:pPr>
        <w:numPr>
          <w:ilvl w:val="0"/>
          <w:numId w:val="1002"/>
        </w:numPr>
        <w:pStyle w:val="Compact"/>
      </w:pPr>
      <w:r>
        <w:t xml:space="preserve">Les intégrations ERP profondes (prévues V2/V3)</w:t>
      </w:r>
    </w:p>
    <w:bookmarkEnd w:id="30"/>
    <w:bookmarkStart w:id="31" w:name="X2b00bae69d957b4bb8646e7718793859c61f882"/>
    <w:p>
      <w:pPr>
        <w:pStyle w:val="Heading2"/>
      </w:pPr>
      <w:r>
        <w:t xml:space="preserve">2.4 Prospectives V2 (à anticiper dans l’architecture)</w:t>
      </w:r>
    </w:p>
    <w:p>
      <w:pPr>
        <w:pStyle w:val="FirstParagraph"/>
      </w:pPr>
      <w:r>
        <w:t xml:space="preserve">L’architecture V1 doit être conçue pour ne pas bloquer les évolutions V2 suivantes : budget et reforecast, BFR et cycle client, analyse de marge, pré-clôture comptable, pré-contrôle paie/DSN via connecteur, playbooks contractuels, analyse de contrats avancée, multi-entités et consolidation connectée. Ces éléments sont détaillés en section 12 (Prospectives V2).</w:t>
      </w:r>
    </w:p>
    <w:p>
      <w:r>
        <w:pict>
          <v:rect style="width:0;height:1.5pt" o:hralign="center" o:hrstd="t" o:hr="t"/>
        </w:pict>
      </w:r>
    </w:p>
    <w:bookmarkEnd w:id="31"/>
    <w:bookmarkEnd w:id="32"/>
    <w:bookmarkStart w:id="36" w:name="acteurs-rôles-et-matrice-dhabilitations"/>
    <w:p>
      <w:pPr>
        <w:pStyle w:val="Heading1"/>
      </w:pPr>
      <w:r>
        <w:t xml:space="preserve">3. Acteurs, rôles et matrice d’habilitations</w:t>
      </w:r>
    </w:p>
    <w:bookmarkStart w:id="33" w:name="profils-utilisateurs"/>
    <w:p>
      <w:pPr>
        <w:pStyle w:val="Heading2"/>
      </w:pPr>
      <w:r>
        <w:t xml:space="preserve">3.1 Profils utilisateurs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Rôle</w:t>
            </w:r>
          </w:p>
        </w:tc>
        <w:tc>
          <w:tcPr>
            <w:shd w:val="clear" w:color="auto" w:fill="1E2761"/>
            <w:vAlign w:val="center"/>
          </w:tcPr>
          <w:p>
            <w:pPr>
              <w:pStyle w:val="Compact"/>
              <w:jc w:val="left"/>
            </w:pPr>
            <w:r>
              <w:rPr>
                <w:b/>
                <w:color w:val="FFFFFF"/>
              </w:rPr>
              <w:t xml:space="preserve">Description</w:t>
            </w:r>
          </w:p>
        </w:tc>
        <w:tc>
          <w:tcPr>
            <w:shd w:val="clear" w:color="auto" w:fill="1E2761"/>
            <w:vAlign w:val="center"/>
          </w:tcPr>
          <w:p>
            <w:pPr>
              <w:pStyle w:val="Compact"/>
              <w:jc w:val="left"/>
            </w:pPr>
            <w:r>
              <w:rPr>
                <w:b/>
                <w:color w:val="FFFFFF"/>
              </w:rPr>
              <w:t xml:space="preserve">Accès principal</w:t>
            </w:r>
          </w:p>
        </w:tc>
      </w:tr>
      <w:tr>
        <w:tc>
          <w:tcPr/>
          <w:p>
            <w:pPr>
              <w:pStyle w:val="Compact"/>
              <w:jc w:val="left"/>
            </w:pPr>
            <w:r>
              <w:t xml:space="preserve">Dirigeant</w:t>
            </w:r>
          </w:p>
        </w:tc>
        <w:tc>
          <w:tcPr/>
          <w:p>
            <w:pPr>
              <w:pStyle w:val="Compact"/>
              <w:jc w:val="left"/>
            </w:pPr>
            <w:r>
              <w:t xml:space="preserve">Représentant légal, décisionnaire</w:t>
            </w:r>
          </w:p>
        </w:tc>
        <w:tc>
          <w:tcPr/>
          <w:p>
            <w:pPr>
              <w:pStyle w:val="Compact"/>
              <w:jc w:val="left"/>
            </w:pPr>
            <w:r>
              <w:t xml:space="preserve">Accès complet à son ou ses entités</w:t>
            </w:r>
          </w:p>
        </w:tc>
      </w:tr>
      <w:tr>
        <w:tc>
          <w:tcPr/>
          <w:p>
            <w:pPr>
              <w:pStyle w:val="Compact"/>
              <w:jc w:val="left"/>
            </w:pPr>
            <w:r>
              <w:t xml:space="preserve">DAF / Responsable admin</w:t>
            </w:r>
          </w:p>
        </w:tc>
        <w:tc>
          <w:tcPr/>
          <w:p>
            <w:pPr>
              <w:pStyle w:val="Compact"/>
              <w:jc w:val="left"/>
            </w:pPr>
            <w:r>
              <w:t xml:space="preserve">Pilotage financier opérationnel</w:t>
            </w:r>
          </w:p>
        </w:tc>
        <w:tc>
          <w:tcPr/>
          <w:p>
            <w:pPr>
              <w:pStyle w:val="Compact"/>
              <w:jc w:val="left"/>
            </w:pPr>
            <w:r>
              <w:t xml:space="preserve">Finance, documents, échéances, contrats</w:t>
            </w:r>
          </w:p>
        </w:tc>
      </w:tr>
      <w:tr>
        <w:tc>
          <w:tcPr/>
          <w:p>
            <w:pPr>
              <w:pStyle w:val="Compact"/>
              <w:jc w:val="left"/>
            </w:pPr>
            <w:r>
              <w:t xml:space="preserve">Comptable interne</w:t>
            </w:r>
          </w:p>
        </w:tc>
        <w:tc>
          <w:tcPr/>
          <w:p>
            <w:pPr>
              <w:pStyle w:val="Compact"/>
              <w:jc w:val="left"/>
            </w:pPr>
            <w:r>
              <w:t xml:space="preserve">Saisie et suivi comptable</w:t>
            </w:r>
          </w:p>
        </w:tc>
        <w:tc>
          <w:tcPr/>
          <w:p>
            <w:pPr>
              <w:pStyle w:val="Compact"/>
              <w:jc w:val="left"/>
            </w:pPr>
            <w:r>
              <w:t xml:space="preserve">Documents, pré-comptabilité, factures</w:t>
            </w:r>
          </w:p>
        </w:tc>
      </w:tr>
      <w:tr>
        <w:tc>
          <w:tcPr/>
          <w:p>
            <w:pPr>
              <w:pStyle w:val="Compact"/>
              <w:jc w:val="left"/>
            </w:pPr>
            <w:r>
              <w:t xml:space="preserve">Expert-comptable externe</w:t>
            </w:r>
          </w:p>
        </w:tc>
        <w:tc>
          <w:tcPr/>
          <w:p>
            <w:pPr>
              <w:pStyle w:val="Compact"/>
              <w:jc w:val="left"/>
            </w:pPr>
            <w:r>
              <w:t xml:space="preserve">Professionnel partenaire</w:t>
            </w:r>
          </w:p>
        </w:tc>
        <w:tc>
          <w:tcPr/>
          <w:p>
            <w:pPr>
              <w:pStyle w:val="Compact"/>
              <w:jc w:val="left"/>
            </w:pPr>
            <w:r>
              <w:t xml:space="preserve">Data room partagée, dossier EC (sur invitation)</w:t>
            </w:r>
          </w:p>
        </w:tc>
      </w:tr>
      <w:tr>
        <w:tc>
          <w:tcPr/>
          <w:p>
            <w:pPr>
              <w:pStyle w:val="Compact"/>
              <w:jc w:val="left"/>
            </w:pPr>
            <w:r>
              <w:t xml:space="preserve">Avocat externe</w:t>
            </w:r>
          </w:p>
        </w:tc>
        <w:tc>
          <w:tcPr/>
          <w:p>
            <w:pPr>
              <w:pStyle w:val="Compact"/>
              <w:jc w:val="left"/>
            </w:pPr>
            <w:r>
              <w:t xml:space="preserve">Professionnel partenaire</w:t>
            </w:r>
          </w:p>
        </w:tc>
        <w:tc>
          <w:tcPr/>
          <w:p>
            <w:pPr>
              <w:pStyle w:val="Compact"/>
              <w:jc w:val="left"/>
            </w:pPr>
            <w:r>
              <w:t xml:space="preserve">Data room contrats (sur invitation)</w:t>
            </w:r>
          </w:p>
        </w:tc>
      </w:tr>
      <w:tr>
        <w:tc>
          <w:tcPr/>
          <w:p>
            <w:pPr>
              <w:pStyle w:val="Compact"/>
              <w:jc w:val="left"/>
            </w:pPr>
            <w:r>
              <w:t xml:space="preserve">Consultant / DAF externe</w:t>
            </w:r>
          </w:p>
        </w:tc>
        <w:tc>
          <w:tcPr/>
          <w:p>
            <w:pPr>
              <w:pStyle w:val="Compact"/>
              <w:jc w:val="left"/>
            </w:pPr>
            <w:r>
              <w:t xml:space="preserve">Prestataire non réglementé</w:t>
            </w:r>
          </w:p>
        </w:tc>
        <w:tc>
          <w:tcPr/>
          <w:p>
            <w:pPr>
              <w:pStyle w:val="Compact"/>
              <w:jc w:val="left"/>
            </w:pPr>
            <w:r>
              <w:t xml:space="preserve">Accès délimité par le client</w:t>
            </w:r>
          </w:p>
        </w:tc>
      </w:tr>
      <w:tr>
        <w:tc>
          <w:tcPr/>
          <w:p>
            <w:pPr>
              <w:pStyle w:val="Compact"/>
              <w:jc w:val="left"/>
            </w:pPr>
            <w:r>
              <w:t xml:space="preserve">Administrateur plateforme</w:t>
            </w:r>
          </w:p>
        </w:tc>
        <w:tc>
          <w:tcPr/>
          <w:p>
            <w:pPr>
              <w:pStyle w:val="Compact"/>
              <w:jc w:val="left"/>
            </w:pPr>
            <w:r>
              <w:t xml:space="preserve">Équipe DAF 360 (support, ops)</w:t>
            </w:r>
          </w:p>
        </w:tc>
        <w:tc>
          <w:tcPr/>
          <w:p>
            <w:pPr>
              <w:pStyle w:val="Compact"/>
              <w:jc w:val="left"/>
            </w:pPr>
            <w:r>
              <w:t xml:space="preserve">Administration technique, sans accès métier aux données client par défaut</w:t>
            </w:r>
          </w:p>
        </w:tc>
      </w:tr>
    </w:tbl>
    <w:bookmarkEnd w:id="33"/>
    <w:bookmarkStart w:id="34" w:name="principe-dhabilitation"/>
    <w:p>
      <w:pPr>
        <w:pStyle w:val="Heading2"/>
      </w:pPr>
      <w:r>
        <w:t xml:space="preserve">3.2 Principe d’habilitation</w:t>
      </w:r>
    </w:p>
    <w:p>
      <w:pPr>
        <w:pStyle w:val="FirstParagraph"/>
      </w:pPr>
      <w:r>
        <w:t xml:space="preserve">Le contrôle d’accès repose sur un modèle</w:t>
      </w:r>
      <w:r>
        <w:t xml:space="preserve"> </w:t>
      </w:r>
      <w:r>
        <w:rPr>
          <w:bCs/>
          <w:b/>
        </w:rPr>
        <w:t xml:space="preserve">RBAC (par rôle) complété d’ABAC (par attribut : entité, dossier, période)</w:t>
      </w:r>
      <w:r>
        <w:t xml:space="preserve">. Chaque utilisateur ne voit que les données pour lesquelles il dispose d’une habilitation explicite. Le partage à un professionnel externe est toujours</w:t>
      </w:r>
      <w:r>
        <w:t xml:space="preserve"> </w:t>
      </w:r>
      <w:r>
        <w:rPr>
          <w:bCs/>
          <w:b/>
        </w:rPr>
        <w:t xml:space="preserve">volontaire, granulaire et révocable</w:t>
      </w:r>
      <w:r>
        <w:t xml:space="preserve"> </w:t>
      </w:r>
      <w:r>
        <w:t xml:space="preserve">(dossier par dossier, période, droits lecture/téléchargement/commentaire, expiration automatique).</w:t>
      </w:r>
    </w:p>
    <w:bookmarkEnd w:id="34"/>
    <w:bookmarkStart w:id="35" w:name="matrice-dhabilitations-extrait-v1"/>
    <w:p>
      <w:pPr>
        <w:pStyle w:val="Heading2"/>
      </w:pPr>
      <w:r>
        <w:t xml:space="preserve">3.3 Matrice d’habilitations (extrait V1)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color="auto" w:fill="1E2761"/>
            <w:vAlign w:val="center"/>
          </w:tcPr>
          <w:p>
            <w:pPr>
              <w:pStyle w:val="Compact"/>
              <w:jc w:val="left"/>
            </w:pPr>
            <w:r>
              <w:rPr>
                <w:b/>
                <w:color w:val="FFFFFF"/>
              </w:rPr>
              <w:t xml:space="preserve">Fonction</w:t>
            </w:r>
          </w:p>
        </w:tc>
        <w:tc>
          <w:tcPr>
            <w:shd w:val="clear" w:color="auto" w:fill="1E2761"/>
            <w:vAlign w:val="center"/>
          </w:tcPr>
          <w:p>
            <w:pPr>
              <w:pStyle w:val="Compact"/>
              <w:jc w:val="left"/>
            </w:pPr>
            <w:r>
              <w:rPr>
                <w:b/>
                <w:color w:val="FFFFFF"/>
              </w:rPr>
              <w:t xml:space="preserve">Dirigeant</w:t>
            </w:r>
          </w:p>
        </w:tc>
        <w:tc>
          <w:tcPr>
            <w:shd w:val="clear" w:color="auto" w:fill="1E2761"/>
            <w:vAlign w:val="center"/>
          </w:tcPr>
          <w:p>
            <w:pPr>
              <w:pStyle w:val="Compact"/>
              <w:jc w:val="left"/>
            </w:pPr>
            <w:r>
              <w:rPr>
                <w:b/>
                <w:color w:val="FFFFFF"/>
              </w:rPr>
              <w:t xml:space="preserve">DAF</w:t>
            </w:r>
          </w:p>
        </w:tc>
        <w:tc>
          <w:tcPr>
            <w:shd w:val="clear" w:color="auto" w:fill="1E2761"/>
            <w:vAlign w:val="center"/>
          </w:tcPr>
          <w:p>
            <w:pPr>
              <w:pStyle w:val="Compact"/>
              <w:jc w:val="left"/>
            </w:pPr>
            <w:r>
              <w:rPr>
                <w:b/>
                <w:color w:val="FFFFFF"/>
              </w:rPr>
              <w:t xml:space="preserve">Compta interne</w:t>
            </w:r>
          </w:p>
        </w:tc>
        <w:tc>
          <w:tcPr>
            <w:shd w:val="clear" w:color="auto" w:fill="1E2761"/>
            <w:vAlign w:val="center"/>
          </w:tcPr>
          <w:p>
            <w:pPr>
              <w:pStyle w:val="Compact"/>
              <w:jc w:val="left"/>
            </w:pPr>
            <w:r>
              <w:rPr>
                <w:b/>
                <w:color w:val="FFFFFF"/>
              </w:rPr>
              <w:t xml:space="preserve">EC externe</w:t>
            </w:r>
          </w:p>
        </w:tc>
        <w:tc>
          <w:tcPr>
            <w:shd w:val="clear" w:color="auto" w:fill="1E2761"/>
            <w:vAlign w:val="center"/>
          </w:tcPr>
          <w:p>
            <w:pPr>
              <w:pStyle w:val="Compact"/>
              <w:jc w:val="left"/>
            </w:pPr>
            <w:r>
              <w:rPr>
                <w:b/>
                <w:color w:val="FFFFFF"/>
              </w:rPr>
              <w:t xml:space="preserve">Avocat externe</w:t>
            </w:r>
          </w:p>
        </w:tc>
      </w:tr>
      <w:tr>
        <w:tc>
          <w:tcPr/>
          <w:p>
            <w:pPr>
              <w:pStyle w:val="Compact"/>
              <w:jc w:val="left"/>
            </w:pPr>
            <w:r>
              <w:t xml:space="preserve">Déposer / consulter documents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Sur partage</w:t>
            </w:r>
          </w:p>
        </w:tc>
        <w:tc>
          <w:tcPr/>
          <w:p>
            <w:pPr>
              <w:pStyle w:val="Compact"/>
              <w:jc w:val="left"/>
            </w:pPr>
            <w:r>
              <w:t xml:space="preserve">Sur partage</w:t>
            </w:r>
          </w:p>
        </w:tc>
      </w:tr>
      <w:tr>
        <w:tc>
          <w:tcPr/>
          <w:p>
            <w:pPr>
              <w:pStyle w:val="Compact"/>
              <w:jc w:val="left"/>
            </w:pPr>
            <w:r>
              <w:t xml:space="preserve">Voir cockpit cash</w:t>
            </w:r>
          </w:p>
        </w:tc>
        <w:tc>
          <w:tcPr/>
          <w:p>
            <w:pPr>
              <w:pStyle w:val="Compact"/>
              <w:jc w:val="left"/>
            </w:pPr>
            <w:r>
              <w:t xml:space="preserve">✔</w:t>
            </w:r>
          </w:p>
        </w:tc>
        <w:tc>
          <w:tcPr/>
          <w:p>
            <w:pPr>
              <w:pStyle w:val="Compact"/>
              <w:jc w:val="left"/>
            </w:pPr>
            <w:r>
              <w:t xml:space="preserve">✔</w:t>
            </w:r>
          </w:p>
        </w:tc>
        <w:tc>
          <w:tcPr/>
          <w:p>
            <w:pPr>
              <w:pStyle w:val="Compact"/>
              <w:jc w:val="left"/>
            </w:pPr>
            <w:r>
              <w:t xml:space="preserve">Lecture</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Gérer les échéances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Consultation dossier</w:t>
            </w:r>
          </w:p>
        </w:tc>
        <w:tc>
          <w:tcPr/>
          <w:p>
            <w:pPr>
              <w:pStyle w:val="Compact"/>
              <w:jc w:val="left"/>
            </w:pPr>
            <w:r>
              <w:t xml:space="preserve">Non</w:t>
            </w:r>
          </w:p>
        </w:tc>
      </w:tr>
      <w:tr>
        <w:tc>
          <w:tcPr/>
          <w:p>
            <w:pPr>
              <w:pStyle w:val="Compact"/>
              <w:jc w:val="left"/>
            </w:pPr>
            <w:r>
              <w:t xml:space="preserve">Valider une action sensible</w:t>
            </w:r>
          </w:p>
        </w:tc>
        <w:tc>
          <w:tcPr/>
          <w:p>
            <w:pPr>
              <w:pStyle w:val="Compact"/>
              <w:jc w:val="left"/>
            </w:pPr>
            <w:r>
              <w:t xml:space="preserve">✔</w:t>
            </w:r>
          </w:p>
        </w:tc>
        <w:tc>
          <w:tcPr/>
          <w:p>
            <w:pPr>
              <w:pStyle w:val="Compact"/>
              <w:jc w:val="left"/>
            </w:pPr>
            <w:r>
              <w:t xml:space="preserve">Selon délégation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Ouvrir la data room à un tiers</w:t>
            </w:r>
          </w:p>
        </w:tc>
        <w:tc>
          <w:tcPr/>
          <w:p>
            <w:pPr>
              <w:pStyle w:val="Compact"/>
              <w:jc w:val="left"/>
            </w:pPr>
            <w:r>
              <w:t xml:space="preserve">✔</w:t>
            </w:r>
          </w:p>
        </w:tc>
        <w:tc>
          <w:tcPr/>
          <w:p>
            <w:pPr>
              <w:pStyle w:val="Compact"/>
              <w:jc w:val="left"/>
            </w:pPr>
            <w:r>
              <w:t xml:space="preserve">✔</w:t>
            </w:r>
          </w:p>
        </w:tc>
        <w:tc>
          <w:tcPr/>
          <w:p>
            <w:pPr>
              <w:pStyle w:val="Compact"/>
              <w:jc w:val="left"/>
            </w:pPr>
            <w:r>
              <w:t xml:space="preserve">Non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Accéder au journal d’audit</w:t>
            </w:r>
          </w:p>
        </w:tc>
        <w:tc>
          <w:tcPr/>
          <w:p>
            <w:pPr>
              <w:pStyle w:val="Compact"/>
              <w:jc w:val="left"/>
            </w:pPr>
            <w:r>
              <w:t xml:space="preserve">✔</w:t>
            </w:r>
          </w:p>
        </w:tc>
        <w:tc>
          <w:tcPr/>
          <w:p>
            <w:pPr>
              <w:pStyle w:val="Compact"/>
              <w:jc w:val="left"/>
            </w:pPr>
            <w:r>
              <w:t xml:space="preserv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Gérer utilisateurs et droits</w:t>
            </w:r>
          </w:p>
        </w:tc>
        <w:tc>
          <w:tcPr/>
          <w:p>
            <w:pPr>
              <w:pStyle w:val="Compact"/>
              <w:jc w:val="left"/>
            </w:pPr>
            <w:r>
              <w:t xml:space="preserve">✔</w:t>
            </w:r>
          </w:p>
        </w:tc>
        <w:tc>
          <w:tcPr/>
          <w:p>
            <w:pPr>
              <w:pStyle w:val="Compact"/>
              <w:jc w:val="left"/>
            </w:pPr>
            <w:r>
              <w:t xml:space="preserve">Selon délégation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bl>
    <w:p>
      <w:r>
        <w:pict>
          <v:rect style="width:0;height:1.5pt" o:hralign="center" o:hrstd="t" o:hr="t"/>
        </w:pict>
      </w:r>
    </w:p>
    <w:bookmarkEnd w:id="35"/>
    <w:bookmarkEnd w:id="36"/>
    <w:bookmarkStart w:id="46" w:name="X0650e57c241ac8734bdf834f2ea1a073139e2d3"/>
    <w:p>
      <w:pPr>
        <w:pStyle w:val="Heading1"/>
      </w:pPr>
      <w:r>
        <w:t xml:space="preserve">4. Spécifications fonctionnelles détaillées (V1)</w:t>
      </w:r>
    </w:p>
    <w:p>
      <w:pPr>
        <w:pStyle w:val="FirstParagraph"/>
      </w:pPr>
      <w:r>
        <w:t xml:space="preserve">Chaque module est décrit sous forme de user stories accompagnées de leurs critères d’acceptation. La notation suit le format : « En tant que [rôle], je veux [action] afin de [bénéfice] ». Les critères d’acceptation (CA) définissent la condition de validation (« Definition of Done »).</w:t>
      </w:r>
    </w:p>
    <w:bookmarkStart w:id="37" w:name="module-onboarding-et-cartographie"/>
    <w:p>
      <w:pPr>
        <w:pStyle w:val="Heading2"/>
      </w:pPr>
      <w:r>
        <w:t xml:space="preserve">4.1 Module Onboarding et cartographie</w:t>
      </w:r>
    </w:p>
    <w:p>
      <w:pPr>
        <w:pStyle w:val="FirstParagraph"/>
      </w:pPr>
      <w:r>
        <w:rPr>
          <w:bCs/>
          <w:b/>
        </w:rPr>
        <w:t xml:space="preserve">US-ON-01 — Création de compte et de l’entité</w:t>
      </w:r>
      <w:r>
        <w:t xml:space="preserve"> </w:t>
      </w:r>
      <w:r>
        <w:t xml:space="preserve">En tant que dirigeant, je veux créer mon compte et enregistrer mon entreprise afin de démarrer mon dossier.</w:t>
      </w:r>
      <w:r>
        <w:t xml:space="preserve"> </w:t>
      </w:r>
      <w:r>
        <w:t xml:space="preserve">- CA1 : inscription par email + mot de passe fort, ou SSO Google/Microsoft.</w:t>
      </w:r>
      <w:r>
        <w:t xml:space="preserve"> </w:t>
      </w:r>
      <w:r>
        <w:t xml:space="preserve">- CA2 : pré-remplissage automatique des données légales à partir du SIREN (source SIRENE/INSEE, RNE).</w:t>
      </w:r>
      <w:r>
        <w:t xml:space="preserve"> </w:t>
      </w:r>
      <w:r>
        <w:t xml:space="preserve">- CA3 : validation email obligatoire avant accès aux fonctionnalités.</w:t>
      </w:r>
      <w:r>
        <w:t xml:space="preserve"> </w:t>
      </w:r>
      <w:r>
        <w:t xml:space="preserve">- CA4 : consentement RGPD et acceptation des CGU horodatés et journalisés.</w:t>
      </w:r>
    </w:p>
    <w:p>
      <w:pPr>
        <w:pStyle w:val="BodyText"/>
      </w:pPr>
      <w:r>
        <w:rPr>
          <w:bCs/>
          <w:b/>
        </w:rPr>
        <w:t xml:space="preserve">US-ON-02 — Onboarding adaptatif (12 questions structurantes)</w:t>
      </w:r>
      <w:r>
        <w:t xml:space="preserve"> </w:t>
      </w:r>
      <w:r>
        <w:t xml:space="preserve">En tant qu’utilisateur, je veux répondre à un questionnaire court afin que la plateforme n’affiche que les pièces et modules pertinents pour mon profil.</w:t>
      </w:r>
      <w:r>
        <w:t xml:space="preserve"> </w:t>
      </w:r>
      <w:r>
        <w:t xml:space="preserve">- CA1 : le parcours pose au maximum 12 questions structurantes (forme juridique, régime fiscal, TVA, effectif, convention collective, date de clôture, outils existants, banques, entités).</w:t>
      </w:r>
      <w:r>
        <w:t xml:space="preserve"> </w:t>
      </w:r>
      <w:r>
        <w:t xml:space="preserve">- CA2 : selon les réponses, la liste des pièces demandées et les modules activés s’adaptent (une microentreprise ne reçoit pas une liste de 60 pièces).</w:t>
      </w:r>
      <w:r>
        <w:t xml:space="preserve"> </w:t>
      </w:r>
      <w:r>
        <w:t xml:space="preserve">- CA3 : affichage d’un « taux de préparation du dossier » évolutif.</w:t>
      </w:r>
      <w:r>
        <w:t xml:space="preserve"> </w:t>
      </w:r>
      <w:r>
        <w:t xml:space="preserve">- CA4 : possibilité de reprendre l’onboarding plus tard sans perte de données.</w:t>
      </w:r>
    </w:p>
    <w:p>
      <w:pPr>
        <w:pStyle w:val="BodyText"/>
      </w:pPr>
      <w:r>
        <w:rPr>
          <w:bCs/>
          <w:b/>
        </w:rPr>
        <w:t xml:space="preserve">US-ON-03 — Matrice d’obligations initiale</w:t>
      </w:r>
      <w:r>
        <w:t xml:space="preserve"> </w:t>
      </w:r>
      <w:r>
        <w:t xml:space="preserve">En tant que dirigeant, je veux voir mes obligations principales dès la fin de l’onboarding afin de comprendre immédiatement la valeur.</w:t>
      </w:r>
      <w:r>
        <w:t xml:space="preserve"> </w:t>
      </w:r>
      <w:r>
        <w:t xml:space="preserve">- CA1 : génération d’une matrice d’obligations (TVA, IS/IR, échéances sociales et fiscales) basée sur le profil.</w:t>
      </w:r>
      <w:r>
        <w:t xml:space="preserve"> </w:t>
      </w:r>
      <w:r>
        <w:t xml:space="preserve">- CA2 : chaque obligation affiche une date, un statut et un niveau de priorité.</w:t>
      </w:r>
    </w:p>
    <w:bookmarkEnd w:id="37"/>
    <w:bookmarkStart w:id="38" w:name="module-coffre-fort-documentaire"/>
    <w:p>
      <w:pPr>
        <w:pStyle w:val="Heading2"/>
      </w:pPr>
      <w:r>
        <w:t xml:space="preserve">4.2 Module Coffre-fort documentaire</w:t>
      </w:r>
    </w:p>
    <w:p>
      <w:pPr>
        <w:pStyle w:val="FirstParagraph"/>
      </w:pPr>
      <w:r>
        <w:rPr>
          <w:bCs/>
          <w:b/>
        </w:rPr>
        <w:t xml:space="preserve">US-DOC-01 — Dépôt multi-canal de documents</w:t>
      </w:r>
      <w:r>
        <w:t xml:space="preserve"> </w:t>
      </w:r>
      <w:r>
        <w:t xml:space="preserve">En tant qu’utilisateur, je veux déposer mes documents par plusieurs moyens afin de centraliser mon dossier sans friction.</w:t>
      </w:r>
      <w:r>
        <w:t xml:space="preserve"> </w:t>
      </w:r>
      <w:r>
        <w:t xml:space="preserve">- CA1 : dépôt par glisser-déposer, email dédié, mobile (PWA), scanner et API.</w:t>
      </w:r>
      <w:r>
        <w:t xml:space="preserve"> </w:t>
      </w:r>
      <w:r>
        <w:t xml:space="preserve">- CA2 : formats acceptés : PDF, JPG, PNG, XML, CSV, formats bureautiques courants.</w:t>
      </w:r>
      <w:r>
        <w:t xml:space="preserve"> </w:t>
      </w:r>
      <w:r>
        <w:t xml:space="preserve">- CA3 : taille maximale par fichier paramétrable (défaut 25 Mo), avec message d’erreur explicite en cas de dépassement.</w:t>
      </w:r>
    </w:p>
    <w:p>
      <w:pPr>
        <w:pStyle w:val="BodyText"/>
      </w:pPr>
      <w:r>
        <w:rPr>
          <w:bCs/>
          <w:b/>
        </w:rPr>
        <w:t xml:space="preserve">US-DOC-02 — OCR et extraction structurée</w:t>
      </w:r>
      <w:r>
        <w:t xml:space="preserve"> </w:t>
      </w:r>
      <w:r>
        <w:t xml:space="preserve">En tant qu’utilisateur, je veux que mes documents soient lus automatiquement afin de ne pas ressaisir les informations.</w:t>
      </w:r>
      <w:r>
        <w:t xml:space="preserve"> </w:t>
      </w:r>
      <w:r>
        <w:t xml:space="preserve">- CA1 : OCR sur les documents image et PDF non natif.</w:t>
      </w:r>
      <w:r>
        <w:t xml:space="preserve"> </w:t>
      </w:r>
      <w:r>
        <w:t xml:space="preserve">- CA2 : extraction structurée des champs clés (fournisseur, montant, TVA, date, échéance) avec indication de la zone/page source.</w:t>
      </w:r>
      <w:r>
        <w:t xml:space="preserve"> </w:t>
      </w:r>
      <w:r>
        <w:t xml:space="preserve">- CA3 : affichage d’un</w:t>
      </w:r>
      <w:r>
        <w:t xml:space="preserve"> </w:t>
      </w:r>
      <w:r>
        <w:rPr>
          <w:bCs/>
          <w:b/>
        </w:rPr>
        <w:t xml:space="preserve">score de confiance</w:t>
      </w:r>
      <w:r>
        <w:t xml:space="preserve"> </w:t>
      </w:r>
      <w:r>
        <w:t xml:space="preserve">par champ extrait.</w:t>
      </w:r>
      <w:r>
        <w:t xml:space="preserve"> </w:t>
      </w:r>
      <w:r>
        <w:t xml:space="preserve">- CA4 : détection des doublons à l’import.</w:t>
      </w:r>
    </w:p>
    <w:p>
      <w:pPr>
        <w:pStyle w:val="BodyText"/>
      </w:pPr>
      <w:r>
        <w:rPr>
          <w:bCs/>
          <w:b/>
        </w:rPr>
        <w:t xml:space="preserve">US-DOC-03 — Classement, versionnement et recherche</w:t>
      </w:r>
      <w:r>
        <w:t xml:space="preserve"> </w:t>
      </w:r>
      <w:r>
        <w:t xml:space="preserve">En tant qu’utilisateur, je veux retrouver et organiser mes documents afin de préparer un dossier rapidement.</w:t>
      </w:r>
      <w:r>
        <w:t xml:space="preserve"> </w:t>
      </w:r>
      <w:r>
        <w:t xml:space="preserve">- CA1 : classification automatique par nature (facture, relevé, contrat, bulletin, statut…).</w:t>
      </w:r>
      <w:r>
        <w:t xml:space="preserve"> </w:t>
      </w:r>
      <w:r>
        <w:t xml:space="preserve">- CA2 : renommage, gestion de version, durée de conservation, propriétaire et date de validité.</w:t>
      </w:r>
      <w:r>
        <w:t xml:space="preserve"> </w:t>
      </w:r>
      <w:r>
        <w:t xml:space="preserve">- CA3 : recherche plein texte et filtres (type, date, statut, entité).</w:t>
      </w:r>
    </w:p>
    <w:bookmarkEnd w:id="38"/>
    <w:bookmarkStart w:id="39" w:name="module-calendrier-intelligent"/>
    <w:p>
      <w:pPr>
        <w:pStyle w:val="Heading2"/>
      </w:pPr>
      <w:r>
        <w:t xml:space="preserve">4.3 Module Calendrier intelligent</w:t>
      </w:r>
    </w:p>
    <w:p>
      <w:pPr>
        <w:pStyle w:val="FirstParagraph"/>
      </w:pPr>
      <w:r>
        <w:rPr>
          <w:bCs/>
          <w:b/>
        </w:rPr>
        <w:t xml:space="preserve">US-CAL-01 — Calendrier priorisé des obligations</w:t>
      </w:r>
      <w:r>
        <w:t xml:space="preserve"> </w:t>
      </w:r>
      <w:r>
        <w:t xml:space="preserve">En tant que dirigeant, je veux un calendrier de mes échéances afin de ne rien oublier.</w:t>
      </w:r>
      <w:r>
        <w:t xml:space="preserve"> </w:t>
      </w:r>
      <w:r>
        <w:t xml:space="preserve">- CA1 : agrégation des échéances (TVA, IS, CFE, CVAE le cas échéant, approbation des comptes, dépôt, AG, contrats, assurances, baux, aides, échéanciers bancaires).</w:t>
      </w:r>
      <w:r>
        <w:t xml:space="preserve"> </w:t>
      </w:r>
      <w:r>
        <w:t xml:space="preserve">- CA2 : moteur de règles</w:t>
      </w:r>
      <w:r>
        <w:t xml:space="preserve"> </w:t>
      </w:r>
      <w:r>
        <w:rPr>
          <w:bCs/>
          <w:b/>
        </w:rPr>
        <w:t xml:space="preserve">versionné</w:t>
      </w:r>
      <w:r>
        <w:t xml:space="preserve"> </w:t>
      </w:r>
      <w:r>
        <w:t xml:space="preserve">par statut, régime, effectif, secteur et date d’effet ; la source officielle de chaque règle est référencée et datée (aucune règle cachée dans un prompt).</w:t>
      </w:r>
      <w:r>
        <w:t xml:space="preserve"> </w:t>
      </w:r>
      <w:r>
        <w:t xml:space="preserve">- CA3 : chaque échéance porte : priorité, responsable, rappel, statut (à faire / à valider / en retard / à escalader) et preuve de réalisation.</w:t>
      </w:r>
    </w:p>
    <w:p>
      <w:pPr>
        <w:pStyle w:val="BodyText"/>
      </w:pPr>
      <w:r>
        <w:rPr>
          <w:bCs/>
          <w:b/>
        </w:rPr>
        <w:t xml:space="preserve">US-CAL-02 — Rappels et notifications</w:t>
      </w:r>
      <w:r>
        <w:t xml:space="preserve"> </w:t>
      </w:r>
      <w:r>
        <w:t xml:space="preserve">En tant qu’utilisateur, je veux être alerté avant une échéance afin d’agir à temps.</w:t>
      </w:r>
      <w:r>
        <w:t xml:space="preserve"> </w:t>
      </w:r>
      <w:r>
        <w:t xml:space="preserve">- CA1 : notifications configurables (email, in-app, push PWA).</w:t>
      </w:r>
      <w:r>
        <w:t xml:space="preserve"> </w:t>
      </w:r>
      <w:r>
        <w:t xml:space="preserve">- CA2 : logique d’escalade automatique si une échéance approche sans action.</w:t>
      </w:r>
    </w:p>
    <w:bookmarkEnd w:id="39"/>
    <w:bookmarkStart w:id="40" w:name="module-cockpit-trésorerie-cash"/>
    <w:p>
      <w:pPr>
        <w:pStyle w:val="Heading2"/>
      </w:pPr>
      <w:r>
        <w:t xml:space="preserve">4.4 Module Cockpit trésorerie (cash)</w:t>
      </w:r>
    </w:p>
    <w:p>
      <w:pPr>
        <w:pStyle w:val="FirstParagraph"/>
      </w:pPr>
      <w:r>
        <w:rPr>
          <w:bCs/>
          <w:b/>
        </w:rPr>
        <w:t xml:space="preserve">US-CASH-01 — Position de trésorerie consolidée</w:t>
      </w:r>
      <w:r>
        <w:t xml:space="preserve"> </w:t>
      </w:r>
      <w:r>
        <w:t xml:space="preserve">En tant que DAF, je veux voir ma position de trésorerie afin de décider rapidement.</w:t>
      </w:r>
      <w:r>
        <w:t xml:space="preserve"> </w:t>
      </w:r>
      <w:r>
        <w:t xml:space="preserve">- CA1 : solde consolidé multi-comptes via agrégateur bancaire compatible (connecteur partenaire, jamais par contournement).</w:t>
      </w:r>
      <w:r>
        <w:t xml:space="preserve"> </w:t>
      </w:r>
      <w:r>
        <w:t xml:space="preserve">- CA2 : vue des encaissements et décaissements.</w:t>
      </w:r>
      <w:r>
        <w:t xml:space="preserve"> </w:t>
      </w:r>
      <w:r>
        <w:t xml:space="preserve">- CA3 : prévision de trésorerie à 13 semaines.</w:t>
      </w:r>
      <w:r>
        <w:t xml:space="preserve"> </w:t>
      </w:r>
      <w:r>
        <w:t xml:space="preserve">- CA4 : alertes de seuil paramétrables (découvert, seuil bas).</w:t>
      </w:r>
    </w:p>
    <w:p>
      <w:pPr>
        <w:pStyle w:val="BodyText"/>
      </w:pPr>
      <w:r>
        <w:rPr>
          <w:bCs/>
          <w:b/>
        </w:rPr>
        <w:t xml:space="preserve">US-CASH-02 — Simulation simple</w:t>
      </w:r>
      <w:r>
        <w:t xml:space="preserve"> </w:t>
      </w:r>
      <w:r>
        <w:t xml:space="preserve">En tant que dirigeant, je veux tester un scénario de trésorerie afin d’anticiper.</w:t>
      </w:r>
      <w:r>
        <w:t xml:space="preserve"> </w:t>
      </w:r>
      <w:r>
        <w:t xml:space="preserve">- CA1 : simulation d’impact d’un encaissement / décaissement futur.</w:t>
      </w:r>
      <w:r>
        <w:t xml:space="preserve"> </w:t>
      </w:r>
      <w:r>
        <w:t xml:space="preserve">- CA2 : les hypothèses sont visibles et modifiables ; le résultat est présenté comme une</w:t>
      </w:r>
      <w:r>
        <w:t xml:space="preserve"> </w:t>
      </w:r>
      <w:r>
        <w:rPr>
          <w:bCs/>
          <w:b/>
        </w:rPr>
        <w:t xml:space="preserve">simulation à valider</w:t>
      </w:r>
      <w:r>
        <w:t xml:space="preserve">, jamais comme une vérité comptable.</w:t>
      </w:r>
    </w:p>
    <w:bookmarkEnd w:id="40"/>
    <w:bookmarkStart w:id="41" w:name="X6d7509f3d08e17bc69605b0d803746da20c89a6"/>
    <w:p>
      <w:pPr>
        <w:pStyle w:val="Heading2"/>
      </w:pPr>
      <w:r>
        <w:t xml:space="preserve">4.5 Module Facturation (capture et préparation e-facture)</w:t>
      </w:r>
    </w:p>
    <w:p>
      <w:pPr>
        <w:pStyle w:val="FirstParagraph"/>
      </w:pPr>
      <w:r>
        <w:rPr>
          <w:bCs/>
          <w:b/>
        </w:rPr>
        <w:t xml:space="preserve">US-FACT-01 — Capture et pré-traitement des factures</w:t>
      </w:r>
      <w:r>
        <w:t xml:space="preserve"> </w:t>
      </w:r>
      <w:r>
        <w:t xml:space="preserve">En tant que comptable interne, je veux capturer mes factures afin d’accélérer le traitement.</w:t>
      </w:r>
      <w:r>
        <w:t xml:space="preserve"> </w:t>
      </w:r>
      <w:r>
        <w:t xml:space="preserve">- CA1 : OCR des mentions légales, fournisseur, échéance, TVA, montant.</w:t>
      </w:r>
      <w:r>
        <w:t xml:space="preserve"> </w:t>
      </w:r>
      <w:r>
        <w:t xml:space="preserve">- CA2 : proposition de règles d’imputation (suggestion, non validation autonome).</w:t>
      </w:r>
      <w:r>
        <w:t xml:space="preserve"> </w:t>
      </w:r>
      <w:r>
        <w:t xml:space="preserve">- CA3 : détection des doublons et des anomalies (montant, TVA, date).</w:t>
      </w:r>
    </w:p>
    <w:p>
      <w:pPr>
        <w:pStyle w:val="BodyText"/>
      </w:pPr>
      <w:r>
        <w:rPr>
          <w:bCs/>
          <w:b/>
        </w:rPr>
        <w:t xml:space="preserve">US-FACT-02 — Préparation à la facturation électronique (réception)</w:t>
      </w:r>
      <w:r>
        <w:t xml:space="preserve"> </w:t>
      </w:r>
      <w:r>
        <w:t xml:space="preserve">En tant que dirigeant, je veux vérifier que mon entreprise est prête pour l’e-facture afin de respecter l’échéance légale.</w:t>
      </w:r>
      <w:r>
        <w:t xml:space="preserve"> </w:t>
      </w:r>
      <w:r>
        <w:t xml:space="preserve">- CA1 : contrôle des données et des formats attendus pour la réception.</w:t>
      </w:r>
      <w:r>
        <w:t xml:space="preserve"> </w:t>
      </w:r>
      <w:r>
        <w:t xml:space="preserve">- CA2 : connexion à une PDP partenaire agréée (pas de PDP propriétaire en V1).</w:t>
      </w:r>
      <w:r>
        <w:t xml:space="preserve"> </w:t>
      </w:r>
      <w:r>
        <w:t xml:space="preserve">- CA3 : tableau de statut des factures et suivi des erreurs (e-reporting préparé).</w:t>
      </w:r>
    </w:p>
    <w:bookmarkEnd w:id="41"/>
    <w:bookmarkStart w:id="42" w:name="module-assistant-ia-sécurisé"/>
    <w:p>
      <w:pPr>
        <w:pStyle w:val="Heading2"/>
      </w:pPr>
      <w:r>
        <w:t xml:space="preserve">4.6 Module Assistant IA sécurisé</w:t>
      </w:r>
    </w:p>
    <w:p>
      <w:pPr>
        <w:pStyle w:val="FirstParagraph"/>
      </w:pPr>
      <w:r>
        <w:rPr>
          <w:bCs/>
          <w:b/>
        </w:rPr>
        <w:t xml:space="preserve">US-IA-01 — Assistant sourcé à périmètre restreint</w:t>
      </w:r>
      <w:r>
        <w:t xml:space="preserve"> </w:t>
      </w:r>
      <w:r>
        <w:t xml:space="preserve">En tant qu’utilisateur, je veux poser des questions sur mon dossier afin d’obtenir des réponses fiables.</w:t>
      </w:r>
      <w:r>
        <w:t xml:space="preserve"> </w:t>
      </w:r>
      <w:r>
        <w:t xml:space="preserve">- CA1 : l’assistant répond uniquement dans le périmètre autorisé (explication de ratios, synthèse d’anomalies, préparation de brouillons, aide à la navigation).</w:t>
      </w:r>
      <w:r>
        <w:t xml:space="preserve"> </w:t>
      </w:r>
      <w:r>
        <w:t xml:space="preserve">- CA2 : chaque réponse cite ses sources et affiche ses hypothèses ; en cas de donnée à faible confiance, aucun conseil catégorique n’est fourni.</w:t>
      </w:r>
      <w:r>
        <w:t xml:space="preserve"> </w:t>
      </w:r>
      <w:r>
        <w:t xml:space="preserve">- CA3 : les sujets réglementés ou à fort impact déclenchent un message d’</w:t>
      </w:r>
      <w:r>
        <w:rPr>
          <w:bCs/>
          <w:b/>
        </w:rPr>
        <w:t xml:space="preserve">escalade vers un professionnel</w:t>
      </w:r>
      <w:r>
        <w:t xml:space="preserve"> </w:t>
      </w:r>
      <w:r>
        <w:t xml:space="preserve">plutôt qu’une réponse autonome.</w:t>
      </w:r>
      <w:r>
        <w:t xml:space="preserve"> </w:t>
      </w:r>
      <w:r>
        <w:t xml:space="preserve">- CA4 : information claire à l’utilisateur qu’il interagit avec une IA (conformité réglementaire IA).</w:t>
      </w:r>
      <w:r>
        <w:t xml:space="preserve"> </w:t>
      </w:r>
      <w:r>
        <w:t xml:space="preserve">- CA5 : les documents clients ne sont</w:t>
      </w:r>
      <w:r>
        <w:t xml:space="preserve"> </w:t>
      </w:r>
      <w:r>
        <w:rPr>
          <w:bCs/>
          <w:b/>
        </w:rPr>
        <w:t xml:space="preserve">pas</w:t>
      </w:r>
      <w:r>
        <w:t xml:space="preserve"> </w:t>
      </w:r>
      <w:r>
        <w:t xml:space="preserve">utilisés pour l’entraînement du modèle par défaut.</w:t>
      </w:r>
    </w:p>
    <w:bookmarkEnd w:id="42"/>
    <w:bookmarkStart w:id="43" w:name="Xd0a22250d16742fcacf4fc31bca97baa5f80703"/>
    <w:p>
      <w:pPr>
        <w:pStyle w:val="Heading2"/>
      </w:pPr>
      <w:r>
        <w:t xml:space="preserve">4.7 Module Data room et collaboration professionnelle</w:t>
      </w:r>
    </w:p>
    <w:p>
      <w:pPr>
        <w:pStyle w:val="FirstParagraph"/>
      </w:pPr>
      <w:r>
        <w:rPr>
          <w:bCs/>
          <w:b/>
        </w:rPr>
        <w:t xml:space="preserve">US-DR-01 — Partage sélectif avec un professionnel</w:t>
      </w:r>
      <w:r>
        <w:t xml:space="preserve"> </w:t>
      </w:r>
      <w:r>
        <w:t xml:space="preserve">En tant que dirigeant, je veux partager certains documents avec mon expert-comptable ou mon avocat afin de préparer un rendez-vous.</w:t>
      </w:r>
      <w:r>
        <w:t xml:space="preserve"> </w:t>
      </w:r>
      <w:r>
        <w:t xml:space="preserve">- CA1 : sélection dossier par dossier et par période.</w:t>
      </w:r>
      <w:r>
        <w:t xml:space="preserve"> </w:t>
      </w:r>
      <w:r>
        <w:t xml:space="preserve">- CA2 : liens à durée limitée, droits granulaires (lecture / téléchargement / commentaire), expiration automatique et révocation manuelle.</w:t>
      </w:r>
      <w:r>
        <w:t xml:space="preserve"> </w:t>
      </w:r>
      <w:r>
        <w:t xml:space="preserve">- CA3 : filigrane sur les documents sensibles et historique complet des accès.</w:t>
      </w:r>
    </w:p>
    <w:p>
      <w:pPr>
        <w:pStyle w:val="BodyText"/>
      </w:pPr>
      <w:r>
        <w:rPr>
          <w:bCs/>
          <w:b/>
        </w:rPr>
        <w:t xml:space="preserve">US-DR-02 — Salle de décision (visioconférence)</w:t>
      </w:r>
      <w:r>
        <w:t xml:space="preserve"> </w:t>
      </w:r>
      <w:r>
        <w:t xml:space="preserve">En tant qu’utilisateur, je veux organiser une visio avec un professionnel afin de décider avec les bons documents sous les yeux.</w:t>
      </w:r>
      <w:r>
        <w:t xml:space="preserve"> </w:t>
      </w:r>
      <w:r>
        <w:t xml:space="preserve">- CA1 : visioconférence intégrée (connecteur partenaire), ordre du jour, data room sélectionnée.</w:t>
      </w:r>
      <w:r>
        <w:t xml:space="preserve"> </w:t>
      </w:r>
      <w:r>
        <w:t xml:space="preserve">- CA2 : prise de notes, liste d’actions, export et conservation du dossier.</w:t>
      </w:r>
    </w:p>
    <w:bookmarkEnd w:id="43"/>
    <w:bookmarkStart w:id="44" w:name="module-centre-dactions-et-tâches"/>
    <w:p>
      <w:pPr>
        <w:pStyle w:val="Heading2"/>
      </w:pPr>
      <w:r>
        <w:t xml:space="preserve">4.8 Module Centre d’actions et tâches</w:t>
      </w:r>
    </w:p>
    <w:p>
      <w:pPr>
        <w:pStyle w:val="FirstParagraph"/>
      </w:pPr>
      <w:r>
        <w:rPr>
          <w:bCs/>
          <w:b/>
        </w:rPr>
        <w:t xml:space="preserve">US-ACT-01 — Vue unique des actions</w:t>
      </w:r>
      <w:r>
        <w:t xml:space="preserve"> </w:t>
      </w:r>
      <w:r>
        <w:t xml:space="preserve">En tant qu’utilisateur, je veux une vue unique de ce que je dois faire afin d’éviter les rappels dispersés.</w:t>
      </w:r>
      <w:r>
        <w:t xml:space="preserve"> </w:t>
      </w:r>
      <w:r>
        <w:t xml:space="preserve">- CA1 : catégories : à faire, en attente, à confirmer, en retard, risque élevé, demande professionnelle.</w:t>
      </w:r>
      <w:r>
        <w:t xml:space="preserve"> </w:t>
      </w:r>
      <w:r>
        <w:t xml:space="preserve">- CA2 : attribution d’une action à un utilisateur, avec échéance et statut.</w:t>
      </w:r>
    </w:p>
    <w:bookmarkEnd w:id="44"/>
    <w:bookmarkStart w:id="45" w:name="Xc430600621c2071cabb97fbf724e8c5c0a8228a"/>
    <w:p>
      <w:pPr>
        <w:pStyle w:val="Heading2"/>
      </w:pPr>
      <w:r>
        <w:t xml:space="preserve">4.9 Garde-fous transverses (obligatoires sur tous les modules)</w:t>
      </w:r>
    </w:p>
    <w:p>
      <w:pPr>
        <w:pStyle w:val="FirstParagraph"/>
      </w:pPr>
      <w:r>
        <w:t xml:space="preserve">Ces mécanismes ne sont pas optionnels ; ils sont au cœur de la valeur et de la conformité du produit.</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1E2761"/>
            <w:vAlign w:val="center"/>
          </w:tcPr>
          <w:p>
            <w:pPr>
              <w:pStyle w:val="Compact"/>
              <w:jc w:val="left"/>
            </w:pPr>
            <w:r>
              <w:rPr>
                <w:b/>
                <w:color w:val="FFFFFF"/>
              </w:rPr>
              <w:t xml:space="preserve">Mécanisme</w:t>
            </w:r>
          </w:p>
        </w:tc>
        <w:tc>
          <w:tcPr>
            <w:shd w:val="clear" w:color="auto" w:fill="1E2761"/>
            <w:vAlign w:val="center"/>
          </w:tcPr>
          <w:p>
            <w:pPr>
              <w:pStyle w:val="Compact"/>
              <w:jc w:val="left"/>
            </w:pPr>
            <w:r>
              <w:rPr>
                <w:b/>
                <w:color w:val="FFFFFF"/>
              </w:rPr>
              <w:t xml:space="preserve">Règle de développement</w:t>
            </w:r>
          </w:p>
        </w:tc>
      </w:tr>
      <w:tr>
        <w:tc>
          <w:tcPr/>
          <w:p>
            <w:pPr>
              <w:pStyle w:val="Compact"/>
              <w:jc w:val="left"/>
            </w:pPr>
            <w:r>
              <w:t xml:space="preserve">Score de confiance</w:t>
            </w:r>
          </w:p>
        </w:tc>
        <w:tc>
          <w:tcPr/>
          <w:p>
            <w:pPr>
              <w:pStyle w:val="Compact"/>
              <w:jc w:val="left"/>
            </w:pPr>
            <w:r>
              <w:t xml:space="preserve">Toute donnée extraite/analysée affiche source, champ, date et niveau de confiance.</w:t>
            </w:r>
          </w:p>
        </w:tc>
      </w:tr>
      <w:tr>
        <w:tc>
          <w:tcPr/>
          <w:p>
            <w:pPr>
              <w:pStyle w:val="Compact"/>
              <w:jc w:val="left"/>
            </w:pPr>
            <w:r>
              <w:t xml:space="preserve">Moteur de règles versionné</w:t>
            </w:r>
          </w:p>
        </w:tc>
        <w:tc>
          <w:tcPr/>
          <w:p>
            <w:pPr>
              <w:pStyle w:val="Compact"/>
              <w:jc w:val="left"/>
            </w:pPr>
            <w:r>
              <w:t xml:space="preserve">Les règles fiscales/sociales/juridiques portent une date d’effet et une source officielle ; jamais codées « en dur » dans un prompt IA.</w:t>
            </w:r>
          </w:p>
        </w:tc>
      </w:tr>
      <w:tr>
        <w:tc>
          <w:tcPr/>
          <w:p>
            <w:pPr>
              <w:pStyle w:val="Compact"/>
              <w:jc w:val="left"/>
            </w:pPr>
            <w:r>
              <w:t xml:space="preserve">Escalade obligatoire</w:t>
            </w:r>
          </w:p>
        </w:tc>
        <w:tc>
          <w:tcPr/>
          <w:p>
            <w:pPr>
              <w:pStyle w:val="Compact"/>
              <w:jc w:val="left"/>
            </w:pPr>
            <w:r>
              <w:t xml:space="preserve">Impact financier élevé, sujet de droit, ambiguïté documentaire ou modification d’acte déclenchent un ticket de validation / une mise en relation professionnelle.</w:t>
            </w:r>
          </w:p>
        </w:tc>
      </w:tr>
      <w:tr>
        <w:tc>
          <w:tcPr/>
          <w:p>
            <w:pPr>
              <w:pStyle w:val="Compact"/>
              <w:jc w:val="left"/>
            </w:pPr>
            <w:r>
              <w:t xml:space="preserve">Journal d’audit</w:t>
            </w:r>
          </w:p>
        </w:tc>
        <w:tc>
          <w:tcPr/>
          <w:p>
            <w:pPr>
              <w:pStyle w:val="Compact"/>
              <w:jc w:val="left"/>
            </w:pPr>
            <w:r>
              <w:t xml:space="preserve">Toute action (dépôt, modification, consultation, validation, export) est tracée : qui, quoi, quand.</w:t>
            </w:r>
          </w:p>
        </w:tc>
      </w:tr>
      <w:tr>
        <w:tc>
          <w:tcPr/>
          <w:p>
            <w:pPr>
              <w:pStyle w:val="Compact"/>
              <w:jc w:val="left"/>
            </w:pPr>
            <w:r>
              <w:t xml:space="preserve">Validation explicite</w:t>
            </w:r>
          </w:p>
        </w:tc>
        <w:tc>
          <w:tcPr/>
          <w:p>
            <w:pPr>
              <w:pStyle w:val="Compact"/>
              <w:jc w:val="left"/>
            </w:pPr>
            <w:r>
              <w:t xml:space="preserve">Aucun envoi autonome de déclaration ou d’acte : bouton de confirmation, mandat, signature par personne habilitée.</w:t>
            </w:r>
          </w:p>
        </w:tc>
      </w:tr>
    </w:tbl>
    <w:p>
      <w:r>
        <w:pict>
          <v:rect style="width:0;height:1.5pt" o:hralign="center" o:hrstd="t" o:hr="t"/>
        </w:pict>
      </w:r>
    </w:p>
    <w:bookmarkEnd w:id="45"/>
    <w:bookmarkEnd w:id="46"/>
    <w:bookmarkStart w:id="53" w:name="exigences-non-fonctionnelles"/>
    <w:p>
      <w:pPr>
        <w:pStyle w:val="Heading1"/>
      </w:pPr>
      <w:r>
        <w:t xml:space="preserve">5. Exigences non-fonctionnelles</w:t>
      </w:r>
    </w:p>
    <w:bookmarkStart w:id="47" w:name="performance"/>
    <w:p>
      <w:pPr>
        <w:pStyle w:val="Heading2"/>
      </w:pPr>
      <w:r>
        <w:t xml:space="preserve">5.1 Performance</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1E2761"/>
            <w:vAlign w:val="center"/>
          </w:tcPr>
          <w:p>
            <w:pPr>
              <w:pStyle w:val="Compact"/>
              <w:jc w:val="left"/>
            </w:pPr>
            <w:r>
              <w:rPr>
                <w:b/>
                <w:color w:val="FFFFFF"/>
              </w:rPr>
              <w:t xml:space="preserve">Exigence</w:t>
            </w:r>
          </w:p>
        </w:tc>
        <w:tc>
          <w:tcPr>
            <w:shd w:val="clear" w:color="auto" w:fill="1E2761"/>
            <w:vAlign w:val="center"/>
          </w:tcPr>
          <w:p>
            <w:pPr>
              <w:pStyle w:val="Compact"/>
              <w:jc w:val="left"/>
            </w:pPr>
            <w:r>
              <w:rPr>
                <w:b/>
                <w:color w:val="FFFFFF"/>
              </w:rPr>
              <w:t xml:space="preserve">Cible</w:t>
            </w:r>
          </w:p>
        </w:tc>
      </w:tr>
      <w:tr>
        <w:tc>
          <w:tcPr/>
          <w:p>
            <w:pPr>
              <w:pStyle w:val="Compact"/>
              <w:jc w:val="left"/>
            </w:pPr>
            <w:r>
              <w:t xml:space="preserve">Temps de chargement des écrans principaux</w:t>
            </w:r>
          </w:p>
        </w:tc>
        <w:tc>
          <w:tcPr/>
          <w:p>
            <w:pPr>
              <w:pStyle w:val="Compact"/>
              <w:jc w:val="left"/>
            </w:pPr>
            <w:r>
              <w:t xml:space="preserve">&lt; 2 s (P95)</w:t>
            </w:r>
          </w:p>
        </w:tc>
      </w:tr>
      <w:tr>
        <w:tc>
          <w:tcPr/>
          <w:p>
            <w:pPr>
              <w:pStyle w:val="Compact"/>
              <w:jc w:val="left"/>
            </w:pPr>
            <w:r>
              <w:t xml:space="preserve">Temps de réponse API (hors traitement lourd)</w:t>
            </w:r>
          </w:p>
        </w:tc>
        <w:tc>
          <w:tcPr/>
          <w:p>
            <w:pPr>
              <w:pStyle w:val="Compact"/>
              <w:jc w:val="left"/>
            </w:pPr>
            <w:r>
              <w:t xml:space="preserve">&lt; 500 ms (P95)</w:t>
            </w:r>
          </w:p>
        </w:tc>
      </w:tr>
      <w:tr>
        <w:tc>
          <w:tcPr/>
          <w:p>
            <w:pPr>
              <w:pStyle w:val="Compact"/>
              <w:jc w:val="left"/>
            </w:pPr>
            <w:r>
              <w:t xml:space="preserve">Traitement OCR d’une facture standard</w:t>
            </w:r>
          </w:p>
        </w:tc>
        <w:tc>
          <w:tcPr/>
          <w:p>
            <w:pPr>
              <w:pStyle w:val="Compact"/>
              <w:jc w:val="left"/>
            </w:pPr>
            <w:r>
              <w:t xml:space="preserve">&lt; 10 s</w:t>
            </w:r>
          </w:p>
        </w:tc>
      </w:tr>
      <w:tr>
        <w:tc>
          <w:tcPr/>
          <w:p>
            <w:pPr>
              <w:pStyle w:val="Compact"/>
              <w:jc w:val="left"/>
            </w:pPr>
            <w:r>
              <w:t xml:space="preserve">Prévision de trésorerie 13 semaines</w:t>
            </w:r>
          </w:p>
        </w:tc>
        <w:tc>
          <w:tcPr/>
          <w:p>
            <w:pPr>
              <w:pStyle w:val="Compact"/>
              <w:jc w:val="left"/>
            </w:pPr>
            <w:r>
              <w:t xml:space="preserve">&lt; 3 s de recalcul</w:t>
            </w:r>
          </w:p>
        </w:tc>
      </w:tr>
      <w:tr>
        <w:tc>
          <w:tcPr/>
          <w:p>
            <w:pPr>
              <w:pStyle w:val="Compact"/>
              <w:jc w:val="left"/>
            </w:pPr>
            <w:r>
              <w:t xml:space="preserve">Nombre d’utilisateurs simultanés supportés (V1)</w:t>
            </w:r>
          </w:p>
        </w:tc>
        <w:tc>
          <w:tcPr/>
          <w:p>
            <w:pPr>
              <w:pStyle w:val="Compact"/>
              <w:jc w:val="left"/>
            </w:pPr>
            <w:r>
              <w:t xml:space="preserve">500 minimum, architecture scalable</w:t>
            </w:r>
          </w:p>
        </w:tc>
      </w:tr>
    </w:tbl>
    <w:bookmarkEnd w:id="47"/>
    <w:bookmarkStart w:id="48" w:name="disponibilité-et-continuité"/>
    <w:p>
      <w:pPr>
        <w:pStyle w:val="Heading2"/>
      </w:pPr>
      <w:r>
        <w:t xml:space="preserve">5.2 Disponibilité et continuité</w:t>
      </w:r>
    </w:p>
    <w:p>
      <w:pPr>
        <w:numPr>
          <w:ilvl w:val="0"/>
          <w:numId w:val="1003"/>
        </w:numPr>
        <w:pStyle w:val="Compact"/>
      </w:pPr>
      <w:r>
        <w:t xml:space="preserve">Disponibilité cible : ≥ 99,5 % (hors fenêtres de maintenance planifiées et annoncées).</w:t>
      </w:r>
    </w:p>
    <w:p>
      <w:pPr>
        <w:numPr>
          <w:ilvl w:val="0"/>
          <w:numId w:val="1003"/>
        </w:numPr>
        <w:pStyle w:val="Compact"/>
      </w:pPr>
      <w:r>
        <w:t xml:space="preserve">Sauvegardes chiffrées quotidiennes avec test de restauration périodique documenté.</w:t>
      </w:r>
    </w:p>
    <w:p>
      <w:pPr>
        <w:numPr>
          <w:ilvl w:val="0"/>
          <w:numId w:val="1003"/>
        </w:numPr>
        <w:pStyle w:val="Compact"/>
      </w:pPr>
      <w:r>
        <w:t xml:space="preserve">Plan de reprise d’activité (PRA) : RPO ≤ 24 h, RTO ≤ 4 h.</w:t>
      </w:r>
    </w:p>
    <w:p>
      <w:pPr>
        <w:numPr>
          <w:ilvl w:val="0"/>
          <w:numId w:val="1003"/>
        </w:numPr>
        <w:pStyle w:val="Compact"/>
      </w:pPr>
      <w:r>
        <w:t xml:space="preserve">Journal d’événements append-only (non modifiable) pour l’audit et la reconstruction.</w:t>
      </w:r>
    </w:p>
    <w:bookmarkEnd w:id="48"/>
    <w:bookmarkStart w:id="49" w:name="sécurité"/>
    <w:p>
      <w:pPr>
        <w:pStyle w:val="Heading2"/>
      </w:pPr>
      <w:r>
        <w:t xml:space="preserve">5.3 Sécurité</w:t>
      </w:r>
    </w:p>
    <w:p>
      <w:pPr>
        <w:numPr>
          <w:ilvl w:val="0"/>
          <w:numId w:val="1004"/>
        </w:numPr>
        <w:pStyle w:val="Compact"/>
      </w:pPr>
      <w:r>
        <w:t xml:space="preserve">Hébergement dans l’Union européenne exclusivement.</w:t>
      </w:r>
    </w:p>
    <w:p>
      <w:pPr>
        <w:numPr>
          <w:ilvl w:val="0"/>
          <w:numId w:val="1004"/>
        </w:numPr>
        <w:pStyle w:val="Compact"/>
      </w:pPr>
      <w:r>
        <w:t xml:space="preserve">Chiffrement des données au repos et en transit (TLS 1.2+ ; AES-256 au repos).</w:t>
      </w:r>
    </w:p>
    <w:p>
      <w:pPr>
        <w:numPr>
          <w:ilvl w:val="0"/>
          <w:numId w:val="1004"/>
        </w:numPr>
        <w:pStyle w:val="Compact"/>
      </w:pPr>
      <w:r>
        <w:t xml:space="preserve">Clés de chiffrement gérées séparément (KMS), rotation documentée.</w:t>
      </w:r>
    </w:p>
    <w:p>
      <w:pPr>
        <w:numPr>
          <w:ilvl w:val="0"/>
          <w:numId w:val="1004"/>
        </w:numPr>
        <w:pStyle w:val="Compact"/>
      </w:pPr>
      <w:r>
        <w:t xml:space="preserve">Authentification forte : MFA obligatoire pour les comptes privilégiés et proposée à tous.</w:t>
      </w:r>
    </w:p>
    <w:p>
      <w:pPr>
        <w:numPr>
          <w:ilvl w:val="0"/>
          <w:numId w:val="1004"/>
        </w:numPr>
        <w:pStyle w:val="Compact"/>
      </w:pPr>
      <w:r>
        <w:t xml:space="preserve">Gestion des accès RBAC/ABAC, expiration des partages, revues périodiques d’habilitation.</w:t>
      </w:r>
    </w:p>
    <w:p>
      <w:pPr>
        <w:numPr>
          <w:ilvl w:val="0"/>
          <w:numId w:val="1004"/>
        </w:numPr>
        <w:pStyle w:val="Compact"/>
      </w:pPr>
      <w:r>
        <w:t xml:space="preserve">Protection applicative : WAF, protection anti-injection, anti-CSRF, rate limiting.</w:t>
      </w:r>
    </w:p>
    <w:p>
      <w:pPr>
        <w:numPr>
          <w:ilvl w:val="0"/>
          <w:numId w:val="1004"/>
        </w:numPr>
        <w:pStyle w:val="Compact"/>
      </w:pPr>
      <w:r>
        <w:t xml:space="preserve">Détection : journalisation de sécurité, monitoring, EDR sur l’infrastructure.</w:t>
      </w:r>
    </w:p>
    <w:p>
      <w:pPr>
        <w:numPr>
          <w:ilvl w:val="0"/>
          <w:numId w:val="1004"/>
        </w:numPr>
        <w:pStyle w:val="Compact"/>
      </w:pPr>
      <w:r>
        <w:t xml:space="preserve">Tests d’intrusion (pentest) avant mise en production, puis annuels.</w:t>
      </w:r>
    </w:p>
    <w:p>
      <w:pPr>
        <w:numPr>
          <w:ilvl w:val="0"/>
          <w:numId w:val="1004"/>
        </w:numPr>
        <w:pStyle w:val="Compact"/>
      </w:pPr>
      <w:r>
        <w:t xml:space="preserve">Gestion des secrets hors code source (coffre à secrets).</w:t>
      </w:r>
    </w:p>
    <w:bookmarkEnd w:id="49"/>
    <w:bookmarkStart w:id="50" w:name="conformité-rgpd-et-ia"/>
    <w:p>
      <w:pPr>
        <w:pStyle w:val="Heading2"/>
      </w:pPr>
      <w:r>
        <w:t xml:space="preserve">5.4 Conformité RGPD et IA</w:t>
      </w:r>
    </w:p>
    <w:p>
      <w:pPr>
        <w:numPr>
          <w:ilvl w:val="0"/>
          <w:numId w:val="1005"/>
        </w:numPr>
        <w:pStyle w:val="Compact"/>
      </w:pPr>
      <w:r>
        <w:t xml:space="preserve">La plateforme agit comme</w:t>
      </w:r>
      <w:r>
        <w:t xml:space="preserve"> </w:t>
      </w:r>
      <w:r>
        <w:rPr>
          <w:bCs/>
          <w:b/>
        </w:rPr>
        <w:t xml:space="preserve">sous-traitant RGPD</w:t>
      </w:r>
      <w:r>
        <w:t xml:space="preserve"> </w:t>
      </w:r>
      <w:r>
        <w:t xml:space="preserve">pour les traitements réalisés sur instruction du client : contrat article 28 (DPA), registre des traitements, minimisation, durée de conservation paramétrable, procédure de violation de données.</w:t>
      </w:r>
    </w:p>
    <w:p>
      <w:pPr>
        <w:numPr>
          <w:ilvl w:val="0"/>
          <w:numId w:val="1005"/>
        </w:numPr>
        <w:pStyle w:val="Compact"/>
      </w:pPr>
      <w:r>
        <w:t xml:space="preserve">Restitution ou suppression des données en fin de prestation, selon les instructions du client (réversibilité).</w:t>
      </w:r>
    </w:p>
    <w:p>
      <w:pPr>
        <w:numPr>
          <w:ilvl w:val="0"/>
          <w:numId w:val="1005"/>
        </w:numPr>
        <w:pStyle w:val="Compact"/>
      </w:pPr>
      <w:r>
        <w:t xml:space="preserve">Gestion fine des données très sensibles (rémunérations, documents de santé présents dans les dossiers de paie) : accès restreint, masquage, traçabilité renforcée.</w:t>
      </w:r>
    </w:p>
    <w:p>
      <w:pPr>
        <w:numPr>
          <w:ilvl w:val="0"/>
          <w:numId w:val="1005"/>
        </w:numPr>
        <w:pStyle w:val="Compact"/>
      </w:pPr>
      <w:r>
        <w:t xml:space="preserve">IA : information de l’utilisateur lors de toute interaction avec l’IA ; pas d’entraînement sur les données clients par défaut ; gouvernance de risque documentée ; réalisation d’une AIPD (analyse d’impact) avant activation d’analyses larges de données personnelles.</w:t>
      </w:r>
    </w:p>
    <w:bookmarkEnd w:id="50"/>
    <w:bookmarkStart w:id="51" w:name="accessibilité-et-compatibilité"/>
    <w:p>
      <w:pPr>
        <w:pStyle w:val="Heading2"/>
      </w:pPr>
      <w:r>
        <w:t xml:space="preserve">5.5 Accessibilité et compatibilité</w:t>
      </w:r>
    </w:p>
    <w:p>
      <w:pPr>
        <w:numPr>
          <w:ilvl w:val="0"/>
          <w:numId w:val="1006"/>
        </w:numPr>
        <w:pStyle w:val="Compact"/>
      </w:pPr>
      <w:r>
        <w:t xml:space="preserve">Conception « mobile first » en PWA (dépôt, alertes, validation en mobilité).</w:t>
      </w:r>
    </w:p>
    <w:p>
      <w:pPr>
        <w:numPr>
          <w:ilvl w:val="0"/>
          <w:numId w:val="1006"/>
        </w:numPr>
        <w:pStyle w:val="Compact"/>
      </w:pPr>
      <w:r>
        <w:t xml:space="preserve">Compatibilité navigateurs : versions récentes de Chrome, Firefox, Edge, Safari (N et N-1).</w:t>
      </w:r>
    </w:p>
    <w:p>
      <w:pPr>
        <w:numPr>
          <w:ilvl w:val="0"/>
          <w:numId w:val="1006"/>
        </w:numPr>
        <w:pStyle w:val="Compact"/>
      </w:pPr>
      <w:r>
        <w:t xml:space="preserve">Objectif d’accessibilité : conformité RGAA de niveau AA visée sur les parcours critiques.</w:t>
      </w:r>
    </w:p>
    <w:p>
      <w:pPr>
        <w:numPr>
          <w:ilvl w:val="0"/>
          <w:numId w:val="1006"/>
        </w:numPr>
        <w:pStyle w:val="Compact"/>
      </w:pPr>
      <w:r>
        <w:t xml:space="preserve">Internationalisation prête (i18n), langue par défaut : français.</w:t>
      </w:r>
    </w:p>
    <w:bookmarkEnd w:id="51"/>
    <w:bookmarkStart w:id="52" w:name="maintenabilité-et-qualité-de-code"/>
    <w:p>
      <w:pPr>
        <w:pStyle w:val="Heading2"/>
      </w:pPr>
      <w:r>
        <w:t xml:space="preserve">5.6 Maintenabilité et qualité de code</w:t>
      </w:r>
    </w:p>
    <w:p>
      <w:pPr>
        <w:numPr>
          <w:ilvl w:val="0"/>
          <w:numId w:val="1007"/>
        </w:numPr>
        <w:pStyle w:val="Compact"/>
      </w:pPr>
      <w:r>
        <w:t xml:space="preserve">Architecture modulaire orientée domaine (séparation claire des modules métier).</w:t>
      </w:r>
    </w:p>
    <w:p>
      <w:pPr>
        <w:numPr>
          <w:ilvl w:val="0"/>
          <w:numId w:val="1007"/>
        </w:numPr>
        <w:pStyle w:val="Compact"/>
      </w:pPr>
      <w:r>
        <w:t xml:space="preserve">Couverture de tests automatisés : ≥ 70 % sur le back-end critique.</w:t>
      </w:r>
    </w:p>
    <w:p>
      <w:pPr>
        <w:numPr>
          <w:ilvl w:val="0"/>
          <w:numId w:val="1007"/>
        </w:numPr>
        <w:pStyle w:val="Compact"/>
      </w:pPr>
      <w:r>
        <w:t xml:space="preserve">Documentation technique du code et des API (OpenAPI/Swagger).</w:t>
      </w:r>
    </w:p>
    <w:p>
      <w:pPr>
        <w:numPr>
          <w:ilvl w:val="0"/>
          <w:numId w:val="1007"/>
        </w:numPr>
        <w:pStyle w:val="Compact"/>
      </w:pPr>
      <w:r>
        <w:t xml:space="preserve">Intégration et déploiement continus (CI/CD) avec environnements séparés (dev, recette, production).</w:t>
      </w:r>
    </w:p>
    <w:p>
      <w:r>
        <w:pict>
          <v:rect style="width:0;height:1.5pt" o:hralign="center" o:hrstd="t" o:hr="t"/>
        </w:pict>
      </w:r>
    </w:p>
    <w:bookmarkEnd w:id="52"/>
    <w:bookmarkEnd w:id="53"/>
    <w:bookmarkStart w:id="60" w:name="architecture-technique"/>
    <w:p>
      <w:pPr>
        <w:pStyle w:val="Heading1"/>
      </w:pPr>
      <w:r>
        <w:t xml:space="preserve">6. Architecture technique</w:t>
      </w:r>
    </w:p>
    <w:bookmarkStart w:id="54" w:name="vue-densemble"/>
    <w:p>
      <w:pPr>
        <w:pStyle w:val="Heading2"/>
      </w:pPr>
      <w:r>
        <w:t xml:space="preserve">6.1 Vue d’ensemble</w:t>
      </w:r>
    </w:p>
    <w:p>
      <w:pPr>
        <w:pStyle w:val="FirstParagraph"/>
      </w:pPr>
      <w:r>
        <w:t xml:space="preserve">L’architecture cible est une application web SaaS multi-tenant, modulaire, connectée à des services externes via des connecteurs contractualisés. Le principe fondamental est la</w:t>
      </w:r>
      <w:r>
        <w:t xml:space="preserve"> </w:t>
      </w:r>
      <w:r>
        <w:rPr>
          <w:bCs/>
          <w:b/>
        </w:rPr>
        <w:t xml:space="preserve">réversibilité</w:t>
      </w:r>
      <w:r>
        <w:t xml:space="preserve"> </w:t>
      </w:r>
      <w:r>
        <w:t xml:space="preserve">(le client peut récupérer ses données) et la</w:t>
      </w:r>
      <w:r>
        <w:t xml:space="preserve"> </w:t>
      </w:r>
      <w:r>
        <w:rPr>
          <w:bCs/>
          <w:b/>
        </w:rPr>
        <w:t xml:space="preserve">traçabilité</w:t>
      </w:r>
      <w:r>
        <w:t xml:space="preserve"> </w:t>
      </w:r>
      <w:r>
        <w:t xml:space="preserve">(tout est journalisé).</w:t>
      </w:r>
    </w:p>
    <w:bookmarkEnd w:id="54"/>
    <w:bookmarkStart w:id="55" w:name="stack-technique-recommandée"/>
    <w:p>
      <w:pPr>
        <w:pStyle w:val="Heading2"/>
      </w:pPr>
      <w:r>
        <w:t xml:space="preserve">6.2 Stack technique recommandée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Brique</w:t>
            </w:r>
          </w:p>
        </w:tc>
        <w:tc>
          <w:tcPr>
            <w:shd w:val="clear" w:color="auto" w:fill="1E2761"/>
            <w:vAlign w:val="center"/>
          </w:tcPr>
          <w:p>
            <w:pPr>
              <w:pStyle w:val="Compact"/>
              <w:jc w:val="left"/>
            </w:pPr>
            <w:r>
              <w:rPr>
                <w:b/>
                <w:color w:val="FFFFFF"/>
              </w:rPr>
              <w:t xml:space="preserve">Choix recommandé</w:t>
            </w:r>
          </w:p>
        </w:tc>
        <w:tc>
          <w:tcPr>
            <w:shd w:val="clear" w:color="auto" w:fill="1E2761"/>
            <w:vAlign w:val="center"/>
          </w:tcPr>
          <w:p>
            <w:pPr>
              <w:pStyle w:val="Compact"/>
              <w:jc w:val="left"/>
            </w:pPr>
            <w:r>
              <w:rPr>
                <w:b/>
                <w:color w:val="FFFFFF"/>
              </w:rPr>
              <w:t xml:space="preserve">Objectif</w:t>
            </w:r>
          </w:p>
        </w:tc>
      </w:tr>
      <w:tr>
        <w:tc>
          <w:tcPr/>
          <w:p>
            <w:pPr>
              <w:pStyle w:val="Compact"/>
              <w:jc w:val="left"/>
            </w:pPr>
            <w:r>
              <w:t xml:space="preserve">Frontend web</w:t>
            </w:r>
          </w:p>
        </w:tc>
        <w:tc>
          <w:tcPr/>
          <w:p>
            <w:pPr>
              <w:pStyle w:val="Compact"/>
              <w:jc w:val="left"/>
            </w:pPr>
            <w:r>
              <w:t xml:space="preserve">React / Next.js</w:t>
            </w:r>
          </w:p>
        </w:tc>
        <w:tc>
          <w:tcPr/>
          <w:p>
            <w:pPr>
              <w:pStyle w:val="Compact"/>
              <w:jc w:val="left"/>
            </w:pPr>
            <w:r>
              <w:t xml:space="preserve">Rapidité de livraison, SEO des pages publiques</w:t>
            </w:r>
          </w:p>
        </w:tc>
      </w:tr>
      <w:tr>
        <w:tc>
          <w:tcPr/>
          <w:p>
            <w:pPr>
              <w:pStyle w:val="Compact"/>
              <w:jc w:val="left"/>
            </w:pPr>
            <w:r>
              <w:t xml:space="preserve">Mobile</w:t>
            </w:r>
          </w:p>
        </w:tc>
        <w:tc>
          <w:tcPr/>
          <w:p>
            <w:pPr>
              <w:pStyle w:val="Compact"/>
              <w:jc w:val="left"/>
            </w:pPr>
            <w:r>
              <w:t xml:space="preserve">PWA (Progressive Web App) « mobile first »</w:t>
            </w:r>
          </w:p>
        </w:tc>
        <w:tc>
          <w:tcPr/>
          <w:p>
            <w:pPr>
              <w:pStyle w:val="Compact"/>
              <w:jc w:val="left"/>
            </w:pPr>
            <w:r>
              <w:t xml:space="preserve">Dépôt, alertes, validation ; app native ultérieure si besoin de capture avancée</w:t>
            </w:r>
          </w:p>
        </w:tc>
      </w:tr>
      <w:tr>
        <w:tc>
          <w:tcPr/>
          <w:p>
            <w:pPr>
              <w:pStyle w:val="Compact"/>
              <w:jc w:val="left"/>
            </w:pPr>
            <w:r>
              <w:t xml:space="preserve">Backend</w:t>
            </w:r>
          </w:p>
        </w:tc>
        <w:tc>
          <w:tcPr/>
          <w:p>
            <w:pPr>
              <w:pStyle w:val="Compact"/>
              <w:jc w:val="left"/>
            </w:pPr>
            <w:r>
              <w:t xml:space="preserve">FastAPI (Python) ou Node.js ; API REST/GraphQL</w:t>
            </w:r>
          </w:p>
        </w:tc>
        <w:tc>
          <w:tcPr/>
          <w:p>
            <w:pPr>
              <w:pStyle w:val="Compact"/>
              <w:jc w:val="left"/>
            </w:pPr>
            <w:r>
              <w:t xml:space="preserve">Modularité, intégrations, jobs asynchrones</w:t>
            </w:r>
          </w:p>
        </w:tc>
      </w:tr>
      <w:tr>
        <w:tc>
          <w:tcPr/>
          <w:p>
            <w:pPr>
              <w:pStyle w:val="Compact"/>
              <w:jc w:val="left"/>
            </w:pPr>
            <w:r>
              <w:t xml:space="preserve">Base de données</w:t>
            </w:r>
          </w:p>
        </w:tc>
        <w:tc>
          <w:tcPr/>
          <w:p>
            <w:pPr>
              <w:pStyle w:val="Compact"/>
              <w:jc w:val="left"/>
            </w:pPr>
            <w:r>
              <w:t xml:space="preserve">PostgreSQL</w:t>
            </w:r>
          </w:p>
        </w:tc>
        <w:tc>
          <w:tcPr/>
          <w:p>
            <w:pPr>
              <w:pStyle w:val="Compact"/>
              <w:jc w:val="left"/>
            </w:pPr>
            <w:r>
              <w:t xml:space="preserve">Transactions, intégrité, robustesse</w:t>
            </w:r>
          </w:p>
        </w:tc>
      </w:tr>
      <w:tr>
        <w:tc>
          <w:tcPr/>
          <w:p>
            <w:pPr>
              <w:pStyle w:val="Compact"/>
              <w:jc w:val="left"/>
            </w:pPr>
            <w:r>
              <w:t xml:space="preserve">Stockage documents</w:t>
            </w:r>
          </w:p>
        </w:tc>
        <w:tc>
          <w:tcPr/>
          <w:p>
            <w:pPr>
              <w:pStyle w:val="Compact"/>
              <w:jc w:val="left"/>
            </w:pPr>
            <w:r>
              <w:t xml:space="preserve">Stockage objet chiffré (compatible S3, hébergé UE)</w:t>
            </w:r>
          </w:p>
        </w:tc>
        <w:tc>
          <w:tcPr/>
          <w:p>
            <w:pPr>
              <w:pStyle w:val="Compact"/>
              <w:jc w:val="left"/>
            </w:pPr>
            <w:r>
              <w:t xml:space="preserve">Documents et pièces</w:t>
            </w:r>
          </w:p>
        </w:tc>
      </w:tr>
      <w:tr>
        <w:tc>
          <w:tcPr/>
          <w:p>
            <w:pPr>
              <w:pStyle w:val="Compact"/>
              <w:jc w:val="left"/>
            </w:pPr>
            <w:r>
              <w:t xml:space="preserve">Recherche</w:t>
            </w:r>
          </w:p>
        </w:tc>
        <w:tc>
          <w:tcPr/>
          <w:p>
            <w:pPr>
              <w:pStyle w:val="Compact"/>
              <w:jc w:val="left"/>
            </w:pPr>
            <w:r>
              <w:t xml:space="preserve">Moteur de recherche plein texte (ex. type Elasticsearch/OpenSearch)</w:t>
            </w:r>
          </w:p>
        </w:tc>
        <w:tc>
          <w:tcPr/>
          <w:p>
            <w:pPr>
              <w:pStyle w:val="Compact"/>
              <w:jc w:val="left"/>
            </w:pPr>
            <w:r>
              <w:t xml:space="preserve">Recherche documentaire</w:t>
            </w:r>
          </w:p>
        </w:tc>
      </w:tr>
      <w:tr>
        <w:tc>
          <w:tcPr/>
          <w:p>
            <w:pPr>
              <w:pStyle w:val="Compact"/>
              <w:jc w:val="left"/>
            </w:pPr>
            <w:r>
              <w:t xml:space="preserve">File d’attente / jobs</w:t>
            </w:r>
          </w:p>
        </w:tc>
        <w:tc>
          <w:tcPr/>
          <w:p>
            <w:pPr>
              <w:pStyle w:val="Compact"/>
              <w:jc w:val="left"/>
            </w:pPr>
            <w:r>
              <w:t xml:space="preserve">Système de tâches asynchrones (ex. Celery/BullMQ)</w:t>
            </w:r>
          </w:p>
        </w:tc>
        <w:tc>
          <w:tcPr/>
          <w:p>
            <w:pPr>
              <w:pStyle w:val="Compact"/>
              <w:jc w:val="left"/>
            </w:pPr>
            <w:r>
              <w:t xml:space="preserve">OCR, imports, calculs</w:t>
            </w:r>
          </w:p>
        </w:tc>
      </w:tr>
      <w:tr>
        <w:tc>
          <w:tcPr/>
          <w:p>
            <w:pPr>
              <w:pStyle w:val="Compact"/>
              <w:jc w:val="left"/>
            </w:pPr>
            <w:r>
              <w:t xml:space="preserve">Cache</w:t>
            </w:r>
          </w:p>
        </w:tc>
        <w:tc>
          <w:tcPr/>
          <w:p>
            <w:pPr>
              <w:pStyle w:val="Compact"/>
              <w:jc w:val="left"/>
            </w:pPr>
            <w:r>
              <w:t xml:space="preserve">Redis ou équivalent</w:t>
            </w:r>
          </w:p>
        </w:tc>
        <w:tc>
          <w:tcPr/>
          <w:p>
            <w:pPr>
              <w:pStyle w:val="Compact"/>
              <w:jc w:val="left"/>
            </w:pPr>
            <w:r>
              <w:t xml:space="preserve">Performance</w:t>
            </w:r>
          </w:p>
        </w:tc>
      </w:tr>
      <w:tr>
        <w:tc>
          <w:tcPr/>
          <w:p>
            <w:pPr>
              <w:pStyle w:val="Compact"/>
              <w:jc w:val="left"/>
            </w:pPr>
            <w:r>
              <w:t xml:space="preserve">Journal d’événements</w:t>
            </w:r>
          </w:p>
        </w:tc>
        <w:tc>
          <w:tcPr/>
          <w:p>
            <w:pPr>
              <w:pStyle w:val="Compact"/>
              <w:jc w:val="left"/>
            </w:pPr>
            <w:r>
              <w:t xml:space="preserve">Log append-only</w:t>
            </w:r>
          </w:p>
        </w:tc>
        <w:tc>
          <w:tcPr/>
          <w:p>
            <w:pPr>
              <w:pStyle w:val="Compact"/>
              <w:jc w:val="left"/>
            </w:pPr>
            <w:r>
              <w:t xml:space="preserve">Audit et réversibilité</w:t>
            </w:r>
          </w:p>
        </w:tc>
      </w:tr>
    </w:tbl>
    <w:bookmarkEnd w:id="55"/>
    <w:bookmarkStart w:id="56" w:name="architecture-ia"/>
    <w:p>
      <w:pPr>
        <w:pStyle w:val="Heading2"/>
      </w:pPr>
      <w:r>
        <w:t xml:space="preserve">6.3 Architecture IA</w:t>
      </w:r>
    </w:p>
    <w:p>
      <w:pPr>
        <w:pStyle w:val="FirstParagraph"/>
      </w:pPr>
      <w:r>
        <w:t xml:space="preserve">L’IA suit une architecture en couches avec garde-fous, à respecter strictement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Couche</w:t>
            </w:r>
          </w:p>
        </w:tc>
        <w:tc>
          <w:tcPr>
            <w:shd w:val="clear" w:color="auto" w:fill="1E2761"/>
            <w:vAlign w:val="center"/>
          </w:tcPr>
          <w:p>
            <w:pPr>
              <w:pStyle w:val="Compact"/>
              <w:jc w:val="left"/>
            </w:pPr>
            <w:r>
              <w:rPr>
                <w:b/>
                <w:color w:val="FFFFFF"/>
              </w:rPr>
              <w:t xml:space="preserve">Mécanisme</w:t>
            </w:r>
          </w:p>
        </w:tc>
        <w:tc>
          <w:tcPr>
            <w:shd w:val="clear" w:color="auto" w:fill="1E2761"/>
            <w:vAlign w:val="center"/>
          </w:tcPr>
          <w:p>
            <w:pPr>
              <w:pStyle w:val="Compact"/>
              <w:jc w:val="left"/>
            </w:pPr>
            <w:r>
              <w:rPr>
                <w:b/>
                <w:color w:val="FFFFFF"/>
              </w:rPr>
              <w:t xml:space="preserve">Garde-fou de développement</w:t>
            </w:r>
          </w:p>
        </w:tc>
      </w:tr>
      <w:tr>
        <w:tc>
          <w:tcPr/>
          <w:p>
            <w:pPr>
              <w:pStyle w:val="Compact"/>
              <w:jc w:val="left"/>
            </w:pPr>
            <w:r>
              <w:t xml:space="preserve">Document intelligence</w:t>
            </w:r>
          </w:p>
        </w:tc>
        <w:tc>
          <w:tcPr/>
          <w:p>
            <w:pPr>
              <w:pStyle w:val="Compact"/>
              <w:jc w:val="left"/>
            </w:pPr>
            <w:r>
              <w:t xml:space="preserve">OCR + extraction schématisée (facture, bulletin, contrat, relevé) avec page/source/zone</w:t>
            </w:r>
          </w:p>
        </w:tc>
        <w:tc>
          <w:tcPr/>
          <w:p>
            <w:pPr>
              <w:pStyle w:val="Compact"/>
              <w:jc w:val="left"/>
            </w:pPr>
            <w:r>
              <w:t xml:space="preserve">Ne jamais transformer un PDF en réponse non vérifiable</w:t>
            </w:r>
          </w:p>
        </w:tc>
      </w:tr>
      <w:tr>
        <w:tc>
          <w:tcPr/>
          <w:p>
            <w:pPr>
              <w:pStyle w:val="Compact"/>
              <w:jc w:val="left"/>
            </w:pPr>
            <w:r>
              <w:t xml:space="preserve">Base de connaissances (RAG)</w:t>
            </w:r>
          </w:p>
        </w:tc>
        <w:tc>
          <w:tcPr/>
          <w:p>
            <w:pPr>
              <w:pStyle w:val="Compact"/>
              <w:jc w:val="left"/>
            </w:pPr>
            <w:r>
              <w:t xml:space="preserve">Sources officielles versionnées, modèles validés, playbooks</w:t>
            </w:r>
          </w:p>
        </w:tc>
        <w:tc>
          <w:tcPr/>
          <w:p>
            <w:pPr>
              <w:pStyle w:val="Compact"/>
              <w:jc w:val="left"/>
            </w:pPr>
            <w:r>
              <w:t xml:space="preserve">Réduire l’hallucination ; dater le droit appliqué</w:t>
            </w:r>
          </w:p>
        </w:tc>
      </w:tr>
      <w:tr>
        <w:tc>
          <w:tcPr/>
          <w:p>
            <w:pPr>
              <w:pStyle w:val="Compact"/>
              <w:jc w:val="left"/>
            </w:pPr>
            <w:r>
              <w:t xml:space="preserve">Moteur de règles</w:t>
            </w:r>
          </w:p>
        </w:tc>
        <w:tc>
          <w:tcPr/>
          <w:p>
            <w:pPr>
              <w:pStyle w:val="Compact"/>
              <w:jc w:val="left"/>
            </w:pPr>
            <w:r>
              <w:t xml:space="preserve">Seuils, échéances, statut, effectif, TVA — hors LLM</w:t>
            </w:r>
          </w:p>
        </w:tc>
        <w:tc>
          <w:tcPr/>
          <w:p>
            <w:pPr>
              <w:pStyle w:val="Compact"/>
              <w:jc w:val="left"/>
            </w:pPr>
            <w:r>
              <w:t xml:space="preserve">Décisions répétables et auditables, hors du modèle génératif</w:t>
            </w:r>
          </w:p>
        </w:tc>
      </w:tr>
      <w:tr>
        <w:tc>
          <w:tcPr/>
          <w:p>
            <w:pPr>
              <w:pStyle w:val="Compact"/>
              <w:jc w:val="left"/>
            </w:pPr>
            <w:r>
              <w:t xml:space="preserve">LLM routeur</w:t>
            </w:r>
          </w:p>
        </w:tc>
        <w:tc>
          <w:tcPr/>
          <w:p>
            <w:pPr>
              <w:pStyle w:val="Compact"/>
              <w:jc w:val="left"/>
            </w:pPr>
            <w:r>
              <w:t xml:space="preserve">Modèle économique pour extraction/synthèse ; modèle de qualité pour analyse complexe</w:t>
            </w:r>
          </w:p>
        </w:tc>
        <w:tc>
          <w:tcPr/>
          <w:p>
            <w:pPr>
              <w:pStyle w:val="Compact"/>
              <w:jc w:val="left"/>
            </w:pPr>
            <w:r>
              <w:t xml:space="preserve">Prompts stricts, sorties JSON, contrôle coût/latence</w:t>
            </w:r>
          </w:p>
        </w:tc>
      </w:tr>
      <w:tr>
        <w:tc>
          <w:tcPr/>
          <w:p>
            <w:pPr>
              <w:pStyle w:val="Compact"/>
              <w:jc w:val="left"/>
            </w:pPr>
            <w:r>
              <w:t xml:space="preserve">Human-in-the-loop</w:t>
            </w:r>
          </w:p>
        </w:tc>
        <w:tc>
          <w:tcPr/>
          <w:p>
            <w:pPr>
              <w:pStyle w:val="Compact"/>
              <w:jc w:val="left"/>
            </w:pPr>
            <w:r>
              <w:t xml:space="preserve">Règles de blocage, escalade, revue par un professionnel</w:t>
            </w:r>
          </w:p>
        </w:tc>
        <w:tc>
          <w:tcPr/>
          <w:p>
            <w:pPr>
              <w:pStyle w:val="Compact"/>
              <w:jc w:val="left"/>
            </w:pPr>
            <w:r>
              <w:t xml:space="preserve">Conformité et qualité</w:t>
            </w:r>
          </w:p>
        </w:tc>
      </w:tr>
      <w:tr>
        <w:tc>
          <w:tcPr/>
          <w:p>
            <w:pPr>
              <w:pStyle w:val="Compact"/>
              <w:jc w:val="left"/>
            </w:pPr>
            <w:r>
              <w:t xml:space="preserve">Évaluation continue</w:t>
            </w:r>
          </w:p>
        </w:tc>
        <w:tc>
          <w:tcPr/>
          <w:p>
            <w:pPr>
              <w:pStyle w:val="Compact"/>
              <w:jc w:val="left"/>
            </w:pPr>
            <w:r>
              <w:t xml:space="preserve">Jeux de tests anonymisés/synthétiques, suivi des taux d’acceptation et d’hallucination</w:t>
            </w:r>
          </w:p>
        </w:tc>
        <w:tc>
          <w:tcPr/>
          <w:p>
            <w:pPr>
              <w:pStyle w:val="Compact"/>
              <w:jc w:val="left"/>
            </w:pPr>
            <w:r>
              <w:t xml:space="preserve">Améliorer sans réutiliser abusivement les données clients</w:t>
            </w:r>
          </w:p>
        </w:tc>
      </w:tr>
    </w:tbl>
    <w:bookmarkEnd w:id="56"/>
    <w:bookmarkStart w:id="57" w:name="connecteurs-et-intégrations-v1"/>
    <w:p>
      <w:pPr>
        <w:pStyle w:val="Heading2"/>
      </w:pPr>
      <w:r>
        <w:t xml:space="preserve">6.4 Connecteurs et intégrations (V1)</w:t>
      </w:r>
    </w:p>
    <w:p>
      <w:pPr>
        <w:pStyle w:val="FirstParagraph"/>
      </w:pPr>
      <w:r>
        <w:t xml:space="preserve">Aucune intégration critique ne doit être développée sans contrat, SLA fournisseur et procédure de gestion d’échec (mode dégradé, second fournisseur possible).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Connecteur</w:t>
            </w:r>
          </w:p>
        </w:tc>
        <w:tc>
          <w:tcPr>
            <w:shd w:val="clear" w:color="auto" w:fill="1E2761"/>
            <w:vAlign w:val="center"/>
          </w:tcPr>
          <w:p>
            <w:pPr>
              <w:pStyle w:val="Compact"/>
              <w:jc w:val="left"/>
            </w:pPr>
            <w:r>
              <w:rPr>
                <w:b/>
                <w:color w:val="FFFFFF"/>
              </w:rPr>
              <w:t xml:space="preserve">Rôle V1</w:t>
            </w:r>
          </w:p>
        </w:tc>
        <w:tc>
          <w:tcPr>
            <w:shd w:val="clear" w:color="auto" w:fill="1E2761"/>
            <w:vAlign w:val="center"/>
          </w:tcPr>
          <w:p>
            <w:pPr>
              <w:pStyle w:val="Compact"/>
              <w:jc w:val="left"/>
            </w:pPr>
            <w:r>
              <w:rPr>
                <w:b/>
                <w:color w:val="FFFFFF"/>
              </w:rPr>
              <w:t xml:space="preserve">Règle</w:t>
            </w:r>
          </w:p>
        </w:tc>
      </w:tr>
      <w:tr>
        <w:tc>
          <w:tcPr/>
          <w:p>
            <w:pPr>
              <w:pStyle w:val="Compact"/>
              <w:jc w:val="left"/>
            </w:pPr>
            <w:r>
              <w:t xml:space="preserve">Agrégateur bancaire</w:t>
            </w:r>
          </w:p>
        </w:tc>
        <w:tc>
          <w:tcPr/>
          <w:p>
            <w:pPr>
              <w:pStyle w:val="Compact"/>
              <w:jc w:val="left"/>
            </w:pPr>
            <w:r>
              <w:t xml:space="preserve">Position et flux de trésorerie</w:t>
            </w:r>
          </w:p>
        </w:tc>
        <w:tc>
          <w:tcPr/>
          <w:p>
            <w:pPr>
              <w:pStyle w:val="Compact"/>
              <w:jc w:val="left"/>
            </w:pPr>
            <w:r>
              <w:t xml:space="preserve">Fournisseur compatible ; jamais de scraping non autorisé</w:t>
            </w:r>
          </w:p>
        </w:tc>
      </w:tr>
      <w:tr>
        <w:tc>
          <w:tcPr/>
          <w:p>
            <w:pPr>
              <w:pStyle w:val="Compact"/>
              <w:jc w:val="left"/>
            </w:pPr>
            <w:r>
              <w:t xml:space="preserve">PDP partenaire</w:t>
            </w:r>
          </w:p>
        </w:tc>
        <w:tc>
          <w:tcPr/>
          <w:p>
            <w:pPr>
              <w:pStyle w:val="Compact"/>
              <w:jc w:val="left"/>
            </w:pPr>
            <w:r>
              <w:t xml:space="preserve">Réception e-facture</w:t>
            </w:r>
          </w:p>
        </w:tc>
        <w:tc>
          <w:tcPr/>
          <w:p>
            <w:pPr>
              <w:pStyle w:val="Compact"/>
              <w:jc w:val="left"/>
            </w:pPr>
            <w:r>
              <w:t xml:space="preserve">Plateforme agréée ; pas de PDP propriétaire</w:t>
            </w:r>
          </w:p>
        </w:tc>
      </w:tr>
      <w:tr>
        <w:tc>
          <w:tcPr/>
          <w:p>
            <w:pPr>
              <w:pStyle w:val="Compact"/>
              <w:jc w:val="left"/>
            </w:pPr>
            <w:r>
              <w:t xml:space="preserve">OCR / document AI</w:t>
            </w:r>
          </w:p>
        </w:tc>
        <w:tc>
          <w:tcPr/>
          <w:p>
            <w:pPr>
              <w:pStyle w:val="Compact"/>
              <w:jc w:val="left"/>
            </w:pPr>
            <w:r>
              <w:t xml:space="preserve">Extraction</w:t>
            </w:r>
          </w:p>
        </w:tc>
        <w:tc>
          <w:tcPr/>
          <w:p>
            <w:pPr>
              <w:pStyle w:val="Compact"/>
              <w:jc w:val="left"/>
            </w:pPr>
            <w:r>
              <w:t xml:space="preserve">Service hébergé UE de préférence</w:t>
            </w:r>
          </w:p>
        </w:tc>
      </w:tr>
      <w:tr>
        <w:tc>
          <w:tcPr/>
          <w:p>
            <w:pPr>
              <w:pStyle w:val="Compact"/>
              <w:jc w:val="left"/>
            </w:pPr>
            <w:r>
              <w:t xml:space="preserve">E-signature</w:t>
            </w:r>
          </w:p>
        </w:tc>
        <w:tc>
          <w:tcPr/>
          <w:p>
            <w:pPr>
              <w:pStyle w:val="Compact"/>
              <w:jc w:val="left"/>
            </w:pPr>
            <w:r>
              <w:t xml:space="preserve">Validation d’actes</w:t>
            </w:r>
          </w:p>
        </w:tc>
        <w:tc>
          <w:tcPr/>
          <w:p>
            <w:pPr>
              <w:pStyle w:val="Compact"/>
              <w:jc w:val="left"/>
            </w:pPr>
            <w:r>
              <w:t xml:space="preserve">Connecteur partenaire</w:t>
            </w:r>
          </w:p>
        </w:tc>
      </w:tr>
      <w:tr>
        <w:tc>
          <w:tcPr/>
          <w:p>
            <w:pPr>
              <w:pStyle w:val="Compact"/>
              <w:jc w:val="left"/>
            </w:pPr>
            <w:r>
              <w:t xml:space="preserve">Visioconférence</w:t>
            </w:r>
          </w:p>
        </w:tc>
        <w:tc>
          <w:tcPr/>
          <w:p>
            <w:pPr>
              <w:pStyle w:val="Compact"/>
              <w:jc w:val="left"/>
            </w:pPr>
            <w:r>
              <w:t xml:space="preserve">Salle de décision</w:t>
            </w:r>
          </w:p>
        </w:tc>
        <w:tc>
          <w:tcPr/>
          <w:p>
            <w:pPr>
              <w:pStyle w:val="Compact"/>
              <w:jc w:val="left"/>
            </w:pPr>
            <w:r>
              <w:t xml:space="preserve">Connecteur partenaire</w:t>
            </w:r>
          </w:p>
        </w:tc>
      </w:tr>
      <w:tr>
        <w:tc>
          <w:tcPr/>
          <w:p>
            <w:pPr>
              <w:pStyle w:val="Compact"/>
              <w:jc w:val="left"/>
            </w:pPr>
            <w:r>
              <w:t xml:space="preserve">Logiciel de paie (lecture)</w:t>
            </w:r>
          </w:p>
        </w:tc>
        <w:tc>
          <w:tcPr/>
          <w:p>
            <w:pPr>
              <w:pStyle w:val="Compact"/>
              <w:jc w:val="left"/>
            </w:pPr>
            <w:r>
              <w:t xml:space="preserve">Import de bulletins/variables (préparation V2)</w:t>
            </w:r>
          </w:p>
        </w:tc>
        <w:tc>
          <w:tcPr/>
          <w:p>
            <w:pPr>
              <w:pStyle w:val="Compact"/>
              <w:jc w:val="left"/>
            </w:pPr>
            <w:r>
              <w:t xml:space="preserve">Connecteur en lecture, pas de moteur DSN</w:t>
            </w:r>
          </w:p>
        </w:tc>
      </w:tr>
    </w:tbl>
    <w:bookmarkEnd w:id="57"/>
    <w:bookmarkStart w:id="58" w:name="X18a90b956312d21a5a8dcfe7daafa4ca05389a3"/>
    <w:p>
      <w:pPr>
        <w:pStyle w:val="Heading2"/>
      </w:pPr>
      <w:r>
        <w:t xml:space="preserve">6.5 Sources de données officielles (référentiels)</w:t>
      </w:r>
    </w:p>
    <w:p>
      <w:pPr>
        <w:pStyle w:val="FirstParagraph"/>
      </w:pPr>
      <w:r>
        <w:t xml:space="preserve">Les données de référence et les règles doivent provenir exclusivement de sources officielles, versionnées et datées : SIRENE/INSEE et RNE (identification), impots.gouv.fr / BOFiP / Légifrance (fiscalité, calendrier), net-entreprises / URSSAF / Service-Public (social), Légifrance et Service-Public (droit), Bpifrance / France Num / plateformes régionales (aides). Les données clients (factures, banque, contrats) sont traitées sous le contrôle du client et ne servent pas à l’entraînement automatique.</w:t>
      </w:r>
    </w:p>
    <w:bookmarkEnd w:id="58"/>
    <w:bookmarkStart w:id="59" w:name="modèle-de-données-principes"/>
    <w:p>
      <w:pPr>
        <w:pStyle w:val="Heading2"/>
      </w:pPr>
      <w:r>
        <w:t xml:space="preserve">6.6 Modèle de données (principes)</w:t>
      </w:r>
    </w:p>
    <w:p>
      <w:pPr>
        <w:numPr>
          <w:ilvl w:val="0"/>
          <w:numId w:val="1008"/>
        </w:numPr>
        <w:pStyle w:val="Compact"/>
      </w:pPr>
      <w:r>
        <w:t xml:space="preserve">Multi-tenant avec isolation stricte des données par entité cliente.</w:t>
      </w:r>
    </w:p>
    <w:p>
      <w:pPr>
        <w:numPr>
          <w:ilvl w:val="0"/>
          <w:numId w:val="1008"/>
        </w:numPr>
        <w:pStyle w:val="Compact"/>
      </w:pPr>
      <w:r>
        <w:t xml:space="preserve">Entités principales : Utilisateur, Entité (entreprise), Document, Obligation, Échéance, Compte bancaire, Transaction, Facture, Tâche/Action, Partage, Événement d’audit.</w:t>
      </w:r>
    </w:p>
    <w:p>
      <w:pPr>
        <w:numPr>
          <w:ilvl w:val="0"/>
          <w:numId w:val="1008"/>
        </w:numPr>
        <w:pStyle w:val="Compact"/>
      </w:pPr>
      <w:r>
        <w:t xml:space="preserve">Chaque enregistrement sensible porte des métadonnées de provenance, de confiance et de version.</w:t>
      </w:r>
    </w:p>
    <w:p>
      <w:pPr>
        <w:numPr>
          <w:ilvl w:val="0"/>
          <w:numId w:val="1008"/>
        </w:numPr>
        <w:pStyle w:val="Compact"/>
      </w:pPr>
      <w:r>
        <w:t xml:space="preserve">Horodatage et journalisation systématiques.</w:t>
      </w:r>
    </w:p>
    <w:p>
      <w:r>
        <w:pict>
          <v:rect style="width:0;height:1.5pt" o:hralign="center" o:hrstd="t" o:hr="t"/>
        </w:pict>
      </w:r>
    </w:p>
    <w:bookmarkEnd w:id="59"/>
    <w:bookmarkEnd w:id="60"/>
    <w:bookmarkStart w:id="66" w:name="X6832e354728bcce6338a75f4fd6da4e16aedfb3"/>
    <w:p>
      <w:pPr>
        <w:pStyle w:val="Heading1"/>
      </w:pPr>
      <w:r>
        <w:t xml:space="preserve">7. Conception du site et expérience utilisateur (UX/UI)</w:t>
      </w:r>
    </w:p>
    <w:bookmarkStart w:id="61" w:name="principes-de-conception"/>
    <w:p>
      <w:pPr>
        <w:pStyle w:val="Heading2"/>
      </w:pPr>
      <w:r>
        <w:t xml:space="preserve">7.1 Principes de conception</w:t>
      </w:r>
    </w:p>
    <w:p>
      <w:pPr>
        <w:pStyle w:val="FirstParagraph"/>
      </w:pPr>
      <w:r>
        <w:t xml:space="preserve">L’interface s’adresse à des dirigeants et responsables financiers qui ne sont pas nécessairement experts des normes fiscales ou juridiques. La conception doit donc être</w:t>
      </w:r>
      <w:r>
        <w:t xml:space="preserve"> </w:t>
      </w:r>
      <w:r>
        <w:rPr>
          <w:bCs/>
          <w:b/>
        </w:rPr>
        <w:t xml:space="preserve">claire, rassurante et orientée action</w:t>
      </w:r>
      <w:r>
        <w:t xml:space="preserve">. Le logiciel doit dire, par exemple : « 3 pièces manquent pour produire une analyse fiable », « ce calcul est une simulation à valider », « un avocat est requis car ce contrat contient une clause inhabituelle », plutôt que d’exiger de l’utilisateur qu’il comprenne la règle sous-jacente.</w:t>
      </w:r>
    </w:p>
    <w:p>
      <w:pPr>
        <w:pStyle w:val="BodyText"/>
      </w:pPr>
      <w:r>
        <w:t xml:space="preserve">Principes directeurs :</w:t>
      </w:r>
      <w:r>
        <w:t xml:space="preserve"> </w:t>
      </w:r>
      <w:r>
        <w:t xml:space="preserve">- Sobriété exécutive : pas de surcharge visuelle, hiérarchie claire de l’information.</w:t>
      </w:r>
      <w:r>
        <w:t xml:space="preserve"> </w:t>
      </w:r>
      <w:r>
        <w:t xml:space="preserve">- Une action principale par écran, mise en avant.</w:t>
      </w:r>
      <w:r>
        <w:t xml:space="preserve"> </w:t>
      </w:r>
      <w:r>
        <w:t xml:space="preserve">- Transparence : toujours indiquer la source, le niveau de confiance et le statut (simulation / à valider / validé).</w:t>
      </w:r>
      <w:r>
        <w:t xml:space="preserve"> </w:t>
      </w:r>
      <w:r>
        <w:t xml:space="preserve">- Réassurance : jamais de ton alarmiste ; guider vers l’action ou vers le bon professionnel.</w:t>
      </w:r>
    </w:p>
    <w:bookmarkEnd w:id="61"/>
    <w:bookmarkStart w:id="62" w:name="arborescence-générale-v1"/>
    <w:p>
      <w:pPr>
        <w:pStyle w:val="Heading2"/>
      </w:pPr>
      <w:r>
        <w:t xml:space="preserve">7.2 Arborescence générale (V1)</w:t>
      </w:r>
    </w:p>
    <w:p>
      <w:pPr>
        <w:pStyle w:val="SourceCode"/>
      </w:pPr>
      <w:r>
        <w:rPr>
          <w:rStyle w:val="VerbatimChar"/>
        </w:rPr>
        <w:t xml:space="preserve">DAF 360</w:t>
      </w:r>
      <w:r>
        <w:br/>
      </w:r>
      <w:r>
        <w:rPr>
          <w:rStyle w:val="VerbatimChar"/>
        </w:rPr>
        <w:t xml:space="preserve">├── Pages publiques</w:t>
      </w:r>
      <w:r>
        <w:br/>
      </w:r>
      <w:r>
        <w:rPr>
          <w:rStyle w:val="VerbatimChar"/>
        </w:rPr>
        <w:t xml:space="preserve">│   ├── Accueil / présentation produit</w:t>
      </w:r>
      <w:r>
        <w:br/>
      </w:r>
      <w:r>
        <w:rPr>
          <w:rStyle w:val="VerbatimChar"/>
        </w:rPr>
        <w:t xml:space="preserve">│   ├── Diagnostic « prêt pour l'échéance » (wedge d'acquisition)</w:t>
      </w:r>
      <w:r>
        <w:br/>
      </w:r>
      <w:r>
        <w:rPr>
          <w:rStyle w:val="VerbatimChar"/>
        </w:rPr>
        <w:t xml:space="preserve">│   ├── Tarifs</w:t>
      </w:r>
      <w:r>
        <w:br/>
      </w:r>
      <w:r>
        <w:rPr>
          <w:rStyle w:val="VerbatimChar"/>
        </w:rPr>
        <w:t xml:space="preserve">│   └── Connexion / Inscription</w:t>
      </w:r>
      <w:r>
        <w:br/>
      </w:r>
      <w:r>
        <w:rPr>
          <w:rStyle w:val="VerbatimChar"/>
        </w:rPr>
        <w:t xml:space="preserve">│</w:t>
      </w:r>
      <w:r>
        <w:br/>
      </w:r>
      <w:r>
        <w:rPr>
          <w:rStyle w:val="VerbatimChar"/>
        </w:rPr>
        <w:t xml:space="preserve">├── Onboarding</w:t>
      </w:r>
      <w:r>
        <w:br/>
      </w:r>
      <w:r>
        <w:rPr>
          <w:rStyle w:val="VerbatimChar"/>
        </w:rPr>
        <w:t xml:space="preserve">│   ├── Création de compte</w:t>
      </w:r>
      <w:r>
        <w:br/>
      </w:r>
      <w:r>
        <w:rPr>
          <w:rStyle w:val="VerbatimChar"/>
        </w:rPr>
        <w:t xml:space="preserve">│   ├── Cartographie (12 questions)</w:t>
      </w:r>
      <w:r>
        <w:br/>
      </w:r>
      <w:r>
        <w:rPr>
          <w:rStyle w:val="VerbatimChar"/>
        </w:rPr>
        <w:t xml:space="preserve">│   └── Liste de pièces + connecteurs</w:t>
      </w:r>
      <w:r>
        <w:br/>
      </w:r>
      <w:r>
        <w:rPr>
          <w:rStyle w:val="VerbatimChar"/>
        </w:rPr>
        <w:t xml:space="preserve">│</w:t>
      </w:r>
      <w:r>
        <w:br/>
      </w:r>
      <w:r>
        <w:rPr>
          <w:rStyle w:val="VerbatimChar"/>
        </w:rPr>
        <w:t xml:space="preserve">└── Application (espace connecté)</w:t>
      </w:r>
      <w:r>
        <w:br/>
      </w:r>
      <w:r>
        <w:rPr>
          <w:rStyle w:val="VerbatimChar"/>
        </w:rPr>
        <w:t xml:space="preserve">    ├── Tableau de bord (accueil)</w:t>
      </w:r>
      <w:r>
        <w:br/>
      </w:r>
      <w:r>
        <w:rPr>
          <w:rStyle w:val="VerbatimChar"/>
        </w:rPr>
        <w:t xml:space="preserve">    ├── Centre d'actions</w:t>
      </w:r>
      <w:r>
        <w:br/>
      </w:r>
      <w:r>
        <w:rPr>
          <w:rStyle w:val="VerbatimChar"/>
        </w:rPr>
        <w:t xml:space="preserve">    ├── Calendrier des obligations</w:t>
      </w:r>
      <w:r>
        <w:br/>
      </w:r>
      <w:r>
        <w:rPr>
          <w:rStyle w:val="VerbatimChar"/>
        </w:rPr>
        <w:t xml:space="preserve">    ├── Trésorerie (cockpit cash)</w:t>
      </w:r>
      <w:r>
        <w:br/>
      </w:r>
      <w:r>
        <w:rPr>
          <w:rStyle w:val="VerbatimChar"/>
        </w:rPr>
        <w:t xml:space="preserve">    ├── Documents (coffre-fort)</w:t>
      </w:r>
      <w:r>
        <w:br/>
      </w:r>
      <w:r>
        <w:rPr>
          <w:rStyle w:val="VerbatimChar"/>
        </w:rPr>
        <w:t xml:space="preserve">    ├── Factures</w:t>
      </w:r>
      <w:r>
        <w:br/>
      </w:r>
      <w:r>
        <w:rPr>
          <w:rStyle w:val="VerbatimChar"/>
        </w:rPr>
        <w:t xml:space="preserve">    ├── Data room &amp; professionnels</w:t>
      </w:r>
      <w:r>
        <w:br/>
      </w:r>
      <w:r>
        <w:rPr>
          <w:rStyle w:val="VerbatimChar"/>
        </w:rPr>
        <w:t xml:space="preserve">    ├── Assistant IA</w:t>
      </w:r>
      <w:r>
        <w:br/>
      </w:r>
      <w:r>
        <w:rPr>
          <w:rStyle w:val="VerbatimChar"/>
        </w:rPr>
        <w:t xml:space="preserve">    └── Paramètres</w:t>
      </w:r>
      <w:r>
        <w:br/>
      </w:r>
      <w:r>
        <w:rPr>
          <w:rStyle w:val="VerbatimChar"/>
        </w:rPr>
        <w:t xml:space="preserve">        ├── Entité(s) et profil</w:t>
      </w:r>
      <w:r>
        <w:br/>
      </w:r>
      <w:r>
        <w:rPr>
          <w:rStyle w:val="VerbatimChar"/>
        </w:rPr>
        <w:t xml:space="preserve">        ├── Utilisateurs et droits</w:t>
      </w:r>
      <w:r>
        <w:br/>
      </w:r>
      <w:r>
        <w:rPr>
          <w:rStyle w:val="VerbatimChar"/>
        </w:rPr>
        <w:t xml:space="preserve">        ├── Connecteurs</w:t>
      </w:r>
      <w:r>
        <w:br/>
      </w:r>
      <w:r>
        <w:rPr>
          <w:rStyle w:val="VerbatimChar"/>
        </w:rPr>
        <w:t xml:space="preserve">        ├── Facturation de l'abonnement</w:t>
      </w:r>
      <w:r>
        <w:br/>
      </w:r>
      <w:r>
        <w:rPr>
          <w:rStyle w:val="VerbatimChar"/>
        </w:rPr>
        <w:t xml:space="preserve">        └── Journal d'audit</w:t>
      </w:r>
    </w:p>
    <w:bookmarkEnd w:id="62"/>
    <w:bookmarkStart w:id="63" w:name="écrans-clés-descriptions-de-wireframes"/>
    <w:p>
      <w:pPr>
        <w:pStyle w:val="Heading2"/>
      </w:pPr>
      <w:r>
        <w:t xml:space="preserve">7.3 Écrans clés (descriptions de wireframes)</w:t>
      </w:r>
    </w:p>
    <w:p>
      <w:pPr>
        <w:pStyle w:val="FirstParagraph"/>
      </w:pPr>
      <w:r>
        <w:rPr>
          <w:bCs/>
          <w:b/>
        </w:rPr>
        <w:t xml:space="preserve">Tableau de bord (accueil connecté)</w:t>
      </w:r>
      <w:r>
        <w:t xml:space="preserve"> </w:t>
      </w:r>
      <w:r>
        <w:t xml:space="preserve">En-tête avec sélecteur d’entité et notifications. Corps organisé en cartes : « Prochaines échéances » (3 à venir), « Trésorerie » (solde + mini-courbe 13 semaines), « Actions prioritaires » (top 3), « Préparation e-facture » (jauge). Chaque carte est cliquable et mène au module détaillé. Objectif : donner l’état de santé du dossier en un coup d’œil.</w:t>
      </w:r>
    </w:p>
    <w:p>
      <w:pPr>
        <w:pStyle w:val="BodyText"/>
      </w:pPr>
      <w:r>
        <w:rPr>
          <w:bCs/>
          <w:b/>
        </w:rPr>
        <w:t xml:space="preserve">Centre d’actions</w:t>
      </w:r>
      <w:r>
        <w:t xml:space="preserve"> </w:t>
      </w:r>
      <w:r>
        <w:t xml:space="preserve">Liste filtrable par statut (à faire, en attente, à confirmer, en retard, risque élevé). Chaque ligne : intitulé, échéance, responsable, priorité, bouton d’action. Tri par urgence par défaut.</w:t>
      </w:r>
    </w:p>
    <w:p>
      <w:pPr>
        <w:pStyle w:val="BodyText"/>
      </w:pPr>
      <w:r>
        <w:rPr>
          <w:bCs/>
          <w:b/>
        </w:rPr>
        <w:t xml:space="preserve">Calendrier des obligations</w:t>
      </w:r>
      <w:r>
        <w:t xml:space="preserve"> </w:t>
      </w:r>
      <w:r>
        <w:t xml:space="preserve">Vue liste priorisée (par défaut) et vue calendrier mensuelle. Chaque obligation ouvre un panneau latéral : description, source officielle datée, pièces requises, statut, bouton « préparer » ou « escalader ».</w:t>
      </w:r>
    </w:p>
    <w:p>
      <w:pPr>
        <w:pStyle w:val="BodyText"/>
      </w:pPr>
      <w:r>
        <w:rPr>
          <w:bCs/>
          <w:b/>
        </w:rPr>
        <w:t xml:space="preserve">Cockpit trésorerie</w:t>
      </w:r>
      <w:r>
        <w:t xml:space="preserve"> </w:t>
      </w:r>
      <w:r>
        <w:t xml:space="preserve">Solde consolidé en grand chiffre, courbe de prévision 13 semaines, liste des encaissements/décaissements à venir, zone d’alerte de seuil. Bouton « simuler un scénario » clairement identifié comme produisant une simulation.</w:t>
      </w:r>
    </w:p>
    <w:p>
      <w:pPr>
        <w:pStyle w:val="BodyText"/>
      </w:pPr>
      <w:r>
        <w:rPr>
          <w:bCs/>
          <w:b/>
        </w:rPr>
        <w:t xml:space="preserve">Coffre-fort documentaire</w:t>
      </w:r>
      <w:r>
        <w:t xml:space="preserve"> </w:t>
      </w:r>
      <w:r>
        <w:t xml:space="preserve">Zone de dépôt (glisser-déposer) proéminente, liste/grille des documents avec vignette, type, date, statut et score de confiance. Filtres et recherche en haut. Panneau de détail avec aperçu, champs extraits et source.</w:t>
      </w:r>
    </w:p>
    <w:p>
      <w:pPr>
        <w:pStyle w:val="BodyText"/>
      </w:pPr>
      <w:r>
        <w:rPr>
          <w:bCs/>
          <w:b/>
        </w:rPr>
        <w:t xml:space="preserve">Data room</w:t>
      </w:r>
      <w:r>
        <w:t xml:space="preserve"> </w:t>
      </w:r>
      <w:r>
        <w:t xml:space="preserve">Vue des partages actifs, bouton « créer un partage » (sélection documents + période + droits + expiration), historique des accès. Section « professionnels » pour inviter un EC ou un avocat et planifier une salle de décision.</w:t>
      </w:r>
    </w:p>
    <w:p>
      <w:pPr>
        <w:pStyle w:val="BodyText"/>
      </w:pPr>
      <w:r>
        <w:rPr>
          <w:bCs/>
          <w:b/>
        </w:rPr>
        <w:t xml:space="preserve">Assistant IA</w:t>
      </w:r>
      <w:r>
        <w:t xml:space="preserve"> </w:t>
      </w:r>
      <w:r>
        <w:t xml:space="preserve">Interface conversationnelle avec, sous chaque réponse, les sources citées et le niveau de confiance. Bandeau permanent rappelant qu’il s’agit d’une IA et que les sujets sensibles sont orientés vers un professionnel.</w:t>
      </w:r>
    </w:p>
    <w:bookmarkEnd w:id="63"/>
    <w:bookmarkStart w:id="64" w:name="Xceb12e0e77e6f08fd922c5b9cdff61c595c8f1d"/>
    <w:p>
      <w:pPr>
        <w:pStyle w:val="Heading2"/>
      </w:pPr>
      <w:r>
        <w:t xml:space="preserve">7.4 Parcours critique : de l’inscription à la première valeur (&lt; 60 min)</w:t>
      </w:r>
    </w:p>
    <w:p>
      <w:pPr>
        <w:numPr>
          <w:ilvl w:val="0"/>
          <w:numId w:val="1009"/>
        </w:numPr>
        <w:pStyle w:val="Compact"/>
      </w:pPr>
      <w:r>
        <w:t xml:space="preserve">Inscription → 2. Pré-remplissage SIREN → 3. 12 questions d’onboarding → 4. Connexion bancaire ou import de documents → 5. Génération de la matrice d’obligations et du premier cockpit cash → 6. Affichage des 3 actions prioritaires. Ce parcours doit être fluide, sans étape bloquante, avec sauvegarde de la progression.</w:t>
      </w:r>
    </w:p>
    <w:bookmarkEnd w:id="64"/>
    <w:bookmarkStart w:id="65" w:name="responsive-et-mobile"/>
    <w:p>
      <w:pPr>
        <w:pStyle w:val="Heading2"/>
      </w:pPr>
      <w:r>
        <w:t xml:space="preserve">7.5 Responsive et mobile</w:t>
      </w:r>
    </w:p>
    <w:p>
      <w:pPr>
        <w:pStyle w:val="FirstParagraph"/>
      </w:pPr>
      <w:r>
        <w:t xml:space="preserve">La PWA doit permettre en mobilité : le dépôt de documents (photo/scan), la réception des alertes, la consultation des échéances et la validation des actions. Les écrans complexes (cockpit détaillé, data room) sont optimisés pour le desktop mais restent consultables sur mobile.</w:t>
      </w:r>
    </w:p>
    <w:p>
      <w:r>
        <w:pict>
          <v:rect style="width:0;height:1.5pt" o:hralign="center" o:hrstd="t" o:hr="t"/>
        </w:pict>
      </w:r>
    </w:p>
    <w:bookmarkEnd w:id="65"/>
    <w:bookmarkEnd w:id="66"/>
    <w:bookmarkStart w:id="72" w:name="charte-graphique"/>
    <w:p>
      <w:pPr>
        <w:pStyle w:val="Heading1"/>
      </w:pPr>
      <w:r>
        <w:t xml:space="preserve">8. Charte graphique</w:t>
      </w:r>
    </w:p>
    <w:bookmarkStart w:id="67" w:name="esprit-visuel"/>
    <w:p>
      <w:pPr>
        <w:pStyle w:val="Heading2"/>
      </w:pPr>
      <w:r>
        <w:t xml:space="preserve">8.1 Esprit visuel</w:t>
      </w:r>
    </w:p>
    <w:p>
      <w:pPr>
        <w:pStyle w:val="FirstParagraph"/>
      </w:pPr>
      <w:r>
        <w:t xml:space="preserve">La charte vise une image</w:t>
      </w:r>
      <w:r>
        <w:t xml:space="preserve"> </w:t>
      </w:r>
      <w:r>
        <w:rPr>
          <w:bCs/>
          <w:b/>
        </w:rPr>
        <w:t xml:space="preserve">exécutive, sobre et digne de confiance</w:t>
      </w:r>
      <w:r>
        <w:t xml:space="preserve">, adaptée à des dirigeants et top managers. Registre : finance et conseil haut de gamme. On évite les couleurs criardes, les dégradés tape-à-l’œil et la surcharge. Le bleu marine domine (sérieux, fiabilité, secteur financier), un accent or/ambre discret signale les points de valeur, et des tons neutres structurent l’interface.</w:t>
      </w:r>
    </w:p>
    <w:bookmarkEnd w:id="67"/>
    <w:bookmarkStart w:id="68" w:name="palette-de-couleurs"/>
    <w:p>
      <w:pPr>
        <w:pStyle w:val="Heading2"/>
      </w:pPr>
      <w:r>
        <w:t xml:space="preserve">8.2 Palette de couleurs</w:t>
      </w:r>
    </w:p>
    <w:p>
      <w:pPr>
        <w:pStyle w:val="FirstParagraph"/>
      </w:pPr>
      <w:r>
        <w:rPr>
          <w:bCs/>
          <w:b/>
        </w:rPr>
        <w:t xml:space="preserve">Couleurs principales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1E2761"/>
            <w:vAlign w:val="center"/>
          </w:tcPr>
          <w:p>
            <w:pPr>
              <w:pStyle w:val="Compact"/>
              <w:jc w:val="left"/>
            </w:pPr>
            <w:r>
              <w:rPr>
                <w:b/>
                <w:color w:val="FFFFFF"/>
              </w:rPr>
              <w:t xml:space="preserve">Rôle</w:t>
            </w:r>
          </w:p>
        </w:tc>
        <w:tc>
          <w:tcPr>
            <w:shd w:val="clear" w:color="auto" w:fill="1E2761"/>
            <w:vAlign w:val="center"/>
          </w:tcPr>
          <w:p>
            <w:pPr>
              <w:pStyle w:val="Compact"/>
              <w:jc w:val="left"/>
            </w:pPr>
            <w:r>
              <w:rPr>
                <w:b/>
                <w:color w:val="FFFFFF"/>
              </w:rPr>
              <w:t xml:space="preserve">Nom</w:t>
            </w:r>
          </w:p>
        </w:tc>
        <w:tc>
          <w:tcPr>
            <w:shd w:val="clear" w:color="auto" w:fill="1E2761"/>
            <w:vAlign w:val="center"/>
          </w:tcPr>
          <w:p>
            <w:pPr>
              <w:pStyle w:val="Compact"/>
              <w:jc w:val="left"/>
            </w:pPr>
            <w:r>
              <w:rPr>
                <w:b/>
                <w:color w:val="FFFFFF"/>
              </w:rPr>
              <w:t xml:space="preserve">Hex</w:t>
            </w:r>
          </w:p>
        </w:tc>
        <w:tc>
          <w:tcPr>
            <w:shd w:val="clear" w:color="auto" w:fill="1E2761"/>
            <w:vAlign w:val="center"/>
          </w:tcPr>
          <w:p>
            <w:pPr>
              <w:pStyle w:val="Compact"/>
              <w:jc w:val="left"/>
            </w:pPr>
            <w:r>
              <w:rPr>
                <w:b/>
                <w:color w:val="FFFFFF"/>
              </w:rPr>
              <w:t xml:space="preserve">Usage</w:t>
            </w:r>
          </w:p>
        </w:tc>
      </w:tr>
      <w:tr>
        <w:tc>
          <w:tcPr/>
          <w:p>
            <w:pPr>
              <w:pStyle w:val="Compact"/>
              <w:jc w:val="left"/>
            </w:pPr>
            <w:r>
              <w:t xml:space="preserve">Dominante</w:t>
            </w:r>
          </w:p>
        </w:tc>
        <w:tc>
          <w:tcPr/>
          <w:p>
            <w:pPr>
              <w:pStyle w:val="Compact"/>
              <w:jc w:val="left"/>
            </w:pPr>
            <w:r>
              <w:t xml:space="preserve">Bleu marine</w:t>
            </w:r>
          </w:p>
        </w:tc>
        <w:tc>
          <w:tcPr/>
          <w:p>
            <w:pPr>
              <w:pStyle w:val="Compact"/>
              <w:jc w:val="left"/>
            </w:pPr>
            <w:r>
              <w:rPr>
                <w:rStyle w:val="VerbatimChar"/>
              </w:rPr>
              <w:t xml:space="preserve">#1E2761</w:t>
            </w:r>
          </w:p>
        </w:tc>
        <w:tc>
          <w:tcPr/>
          <w:p>
            <w:pPr>
              <w:pStyle w:val="Compact"/>
              <w:jc w:val="left"/>
            </w:pPr>
            <w:r>
              <w:t xml:space="preserve">En-têtes, barres de navigation, boutons primaires, titres</w:t>
            </w:r>
          </w:p>
        </w:tc>
      </w:tr>
      <w:tr>
        <w:tc>
          <w:tcPr/>
          <w:p>
            <w:pPr>
              <w:pStyle w:val="Compact"/>
              <w:jc w:val="left"/>
            </w:pPr>
            <w:r>
              <w:t xml:space="preserve">Dominante claire</w:t>
            </w:r>
          </w:p>
        </w:tc>
        <w:tc>
          <w:tcPr/>
          <w:p>
            <w:pPr>
              <w:pStyle w:val="Compact"/>
              <w:jc w:val="left"/>
            </w:pPr>
            <w:r>
              <w:t xml:space="preserve">Bleu ardoise</w:t>
            </w:r>
          </w:p>
        </w:tc>
        <w:tc>
          <w:tcPr/>
          <w:p>
            <w:pPr>
              <w:pStyle w:val="Compact"/>
              <w:jc w:val="left"/>
            </w:pPr>
            <w:r>
              <w:rPr>
                <w:rStyle w:val="VerbatimChar"/>
              </w:rPr>
              <w:t xml:space="preserve">#2C3A7A</w:t>
            </w:r>
          </w:p>
        </w:tc>
        <w:tc>
          <w:tcPr/>
          <w:p>
            <w:pPr>
              <w:pStyle w:val="Compact"/>
              <w:jc w:val="left"/>
            </w:pPr>
            <w:r>
              <w:t xml:space="preserve">Surfaces secondaires, cartes sur fond sombre</w:t>
            </w:r>
          </w:p>
        </w:tc>
      </w:tr>
      <w:tr>
        <w:tc>
          <w:tcPr/>
          <w:p>
            <w:pPr>
              <w:pStyle w:val="Compact"/>
              <w:jc w:val="left"/>
            </w:pPr>
            <w:r>
              <w:t xml:space="preserve">Secondaire</w:t>
            </w:r>
          </w:p>
        </w:tc>
        <w:tc>
          <w:tcPr/>
          <w:p>
            <w:pPr>
              <w:pStyle w:val="Compact"/>
              <w:jc w:val="left"/>
            </w:pPr>
            <w:r>
              <w:t xml:space="preserve">Bleu glacier</w:t>
            </w:r>
          </w:p>
        </w:tc>
        <w:tc>
          <w:tcPr/>
          <w:p>
            <w:pPr>
              <w:pStyle w:val="Compact"/>
              <w:jc w:val="left"/>
            </w:pPr>
            <w:r>
              <w:rPr>
                <w:rStyle w:val="VerbatimChar"/>
              </w:rPr>
              <w:t xml:space="preserve">#CADCFC</w:t>
            </w:r>
          </w:p>
        </w:tc>
        <w:tc>
          <w:tcPr/>
          <w:p>
            <w:pPr>
              <w:pStyle w:val="Compact"/>
              <w:jc w:val="left"/>
            </w:pPr>
            <w:r>
              <w:t xml:space="preserve">Fonds légers, éléments d’accent doux, badges</w:t>
            </w:r>
          </w:p>
        </w:tc>
      </w:tr>
      <w:tr>
        <w:tc>
          <w:tcPr/>
          <w:p>
            <w:pPr>
              <w:pStyle w:val="Compact"/>
              <w:jc w:val="left"/>
            </w:pPr>
            <w:r>
              <w:t xml:space="preserve">Accent</w:t>
            </w:r>
          </w:p>
        </w:tc>
        <w:tc>
          <w:tcPr/>
          <w:p>
            <w:pPr>
              <w:pStyle w:val="Compact"/>
              <w:jc w:val="left"/>
            </w:pPr>
            <w:r>
              <w:t xml:space="preserve">Or ambré</w:t>
            </w:r>
          </w:p>
        </w:tc>
        <w:tc>
          <w:tcPr/>
          <w:p>
            <w:pPr>
              <w:pStyle w:val="Compact"/>
              <w:jc w:val="left"/>
            </w:pPr>
            <w:r>
              <w:rPr>
                <w:rStyle w:val="VerbatimChar"/>
              </w:rPr>
              <w:t xml:space="preserve">#E4B95B</w:t>
            </w:r>
          </w:p>
        </w:tc>
        <w:tc>
          <w:tcPr/>
          <w:p>
            <w:pPr>
              <w:pStyle w:val="Compact"/>
              <w:jc w:val="left"/>
            </w:pPr>
            <w:r>
              <w:t xml:space="preserve">Points de valeur, éléments à mettre en avant, jauges</w:t>
            </w:r>
          </w:p>
        </w:tc>
      </w:tr>
    </w:tbl>
    <w:p>
      <w:pPr>
        <w:pStyle w:val="BodyText"/>
      </w:pPr>
      <w:r>
        <w:rPr>
          <w:bCs/>
          <w:b/>
        </w:rPr>
        <w:t xml:space="preserve">Couleurs fonctionnelles (statuts)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color="auto" w:fill="1E2761"/>
            <w:vAlign w:val="center"/>
          </w:tcPr>
          <w:p>
            <w:pPr>
              <w:pStyle w:val="Compact"/>
              <w:jc w:val="left"/>
            </w:pPr>
            <w:r>
              <w:rPr>
                <w:b/>
                <w:color w:val="FFFFFF"/>
              </w:rPr>
              <w:t xml:space="preserve">Rôle</w:t>
            </w:r>
          </w:p>
        </w:tc>
        <w:tc>
          <w:tcPr>
            <w:shd w:val="clear" w:color="auto" w:fill="1E2761"/>
            <w:vAlign w:val="center"/>
          </w:tcPr>
          <w:p>
            <w:pPr>
              <w:pStyle w:val="Compact"/>
              <w:jc w:val="left"/>
            </w:pPr>
            <w:r>
              <w:rPr>
                <w:b/>
                <w:color w:val="FFFFFF"/>
              </w:rPr>
              <w:t xml:space="preserve">Nom</w:t>
            </w:r>
          </w:p>
        </w:tc>
        <w:tc>
          <w:tcPr>
            <w:shd w:val="clear" w:color="auto" w:fill="1E2761"/>
            <w:vAlign w:val="center"/>
          </w:tcPr>
          <w:p>
            <w:pPr>
              <w:pStyle w:val="Compact"/>
              <w:jc w:val="left"/>
            </w:pPr>
            <w:r>
              <w:rPr>
                <w:b/>
                <w:color w:val="FFFFFF"/>
              </w:rPr>
              <w:t xml:space="preserve">Hex</w:t>
            </w:r>
          </w:p>
        </w:tc>
        <w:tc>
          <w:tcPr>
            <w:shd w:val="clear" w:color="auto" w:fill="1E2761"/>
            <w:vAlign w:val="center"/>
          </w:tcPr>
          <w:p>
            <w:pPr>
              <w:pStyle w:val="Compact"/>
              <w:jc w:val="left"/>
            </w:pPr>
            <w:r>
              <w:rPr>
                <w:b/>
                <w:color w:val="FFFFFF"/>
              </w:rPr>
              <w:t xml:space="preserve">Usage</w:t>
            </w:r>
          </w:p>
        </w:tc>
      </w:tr>
      <w:tr>
        <w:tc>
          <w:tcPr/>
          <w:p>
            <w:pPr>
              <w:pStyle w:val="Compact"/>
              <w:jc w:val="left"/>
            </w:pPr>
            <w:r>
              <w:t xml:space="preserve">Succès / validé</w:t>
            </w:r>
          </w:p>
        </w:tc>
        <w:tc>
          <w:tcPr/>
          <w:p>
            <w:pPr>
              <w:pStyle w:val="Compact"/>
              <w:jc w:val="left"/>
            </w:pPr>
            <w:r>
              <w:t xml:space="preserve">Vert</w:t>
            </w:r>
          </w:p>
        </w:tc>
        <w:tc>
          <w:tcPr/>
          <w:p>
            <w:pPr>
              <w:pStyle w:val="Compact"/>
              <w:jc w:val="left"/>
            </w:pPr>
            <w:r>
              <w:rPr>
                <w:rStyle w:val="VerbatimChar"/>
              </w:rPr>
              <w:t xml:space="preserve">#2FA37C</w:t>
            </w:r>
          </w:p>
        </w:tc>
        <w:tc>
          <w:tcPr/>
          <w:p>
            <w:pPr>
              <w:pStyle w:val="Compact"/>
              <w:jc w:val="left"/>
            </w:pPr>
            <w:r>
              <w:t xml:space="preserve">Statut « validé », indicateurs positifs</w:t>
            </w:r>
          </w:p>
        </w:tc>
      </w:tr>
      <w:tr>
        <w:tc>
          <w:tcPr/>
          <w:p>
            <w:pPr>
              <w:pStyle w:val="Compact"/>
              <w:jc w:val="left"/>
            </w:pPr>
            <w:r>
              <w:t xml:space="preserve">Alerte / risque</w:t>
            </w:r>
          </w:p>
        </w:tc>
        <w:tc>
          <w:tcPr/>
          <w:p>
            <w:pPr>
              <w:pStyle w:val="Compact"/>
              <w:jc w:val="left"/>
            </w:pPr>
            <w:r>
              <w:t xml:space="preserve">Rouge brique</w:t>
            </w:r>
          </w:p>
        </w:tc>
        <w:tc>
          <w:tcPr/>
          <w:p>
            <w:pPr>
              <w:pStyle w:val="Compact"/>
              <w:jc w:val="left"/>
            </w:pPr>
            <w:r>
              <w:rPr>
                <w:rStyle w:val="VerbatimChar"/>
              </w:rPr>
              <w:t xml:space="preserve">#C0503F</w:t>
            </w:r>
          </w:p>
        </w:tc>
        <w:tc>
          <w:tcPr/>
          <w:p>
            <w:pPr>
              <w:pStyle w:val="Compact"/>
              <w:jc w:val="left"/>
            </w:pPr>
            <w:r>
              <w:t xml:space="preserve">Retards, risques élevés, erreurs</w:t>
            </w:r>
          </w:p>
        </w:tc>
      </w:tr>
      <w:tr>
        <w:tc>
          <w:tcPr/>
          <w:p>
            <w:pPr>
              <w:pStyle w:val="Compact"/>
              <w:jc w:val="left"/>
            </w:pPr>
            <w:r>
              <w:t xml:space="preserve">Attention</w:t>
            </w:r>
          </w:p>
        </w:tc>
        <w:tc>
          <w:tcPr/>
          <w:p>
            <w:pPr>
              <w:pStyle w:val="Compact"/>
              <w:jc w:val="left"/>
            </w:pPr>
            <w:r>
              <w:t xml:space="preserve">Ambre</w:t>
            </w:r>
          </w:p>
        </w:tc>
        <w:tc>
          <w:tcPr/>
          <w:p>
            <w:pPr>
              <w:pStyle w:val="Compact"/>
              <w:jc w:val="left"/>
            </w:pPr>
            <w:r>
              <w:rPr>
                <w:rStyle w:val="VerbatimChar"/>
              </w:rPr>
              <w:t xml:space="preserve">#E4B95B</w:t>
            </w:r>
          </w:p>
        </w:tc>
        <w:tc>
          <w:tcPr/>
          <w:p>
            <w:pPr>
              <w:pStyle w:val="Compact"/>
              <w:jc w:val="left"/>
            </w:pPr>
            <w:r>
              <w:t xml:space="preserve">À valider, en attente</w:t>
            </w:r>
          </w:p>
        </w:tc>
      </w:tr>
      <w:tr>
        <w:tc>
          <w:tcPr/>
          <w:p>
            <w:pPr>
              <w:pStyle w:val="Compact"/>
              <w:jc w:val="left"/>
            </w:pPr>
            <w:r>
              <w:t xml:space="preserve">Information</w:t>
            </w:r>
          </w:p>
        </w:tc>
        <w:tc>
          <w:tcPr/>
          <w:p>
            <w:pPr>
              <w:pStyle w:val="Compact"/>
              <w:jc w:val="left"/>
            </w:pPr>
            <w:r>
              <w:t xml:space="preserve">Bleu glacier</w:t>
            </w:r>
          </w:p>
        </w:tc>
        <w:tc>
          <w:tcPr/>
          <w:p>
            <w:pPr>
              <w:pStyle w:val="Compact"/>
              <w:jc w:val="left"/>
            </w:pPr>
            <w:r>
              <w:rPr>
                <w:rStyle w:val="VerbatimChar"/>
              </w:rPr>
              <w:t xml:space="preserve">#CADCFC</w:t>
            </w:r>
          </w:p>
        </w:tc>
        <w:tc>
          <w:tcPr/>
          <w:p>
            <w:pPr>
              <w:pStyle w:val="Compact"/>
              <w:jc w:val="left"/>
            </w:pPr>
            <w:r>
              <w:t xml:space="preserve">Messages informatifs</w:t>
            </w:r>
          </w:p>
        </w:tc>
      </w:tr>
    </w:tbl>
    <w:p>
      <w:pPr>
        <w:pStyle w:val="BodyText"/>
      </w:pPr>
      <w:r>
        <w:rPr>
          <w:bCs/>
          <w:b/>
        </w:rPr>
        <w:t xml:space="preserve">Neutres (texte et fonds)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color="auto" w:fill="1E2761"/>
            <w:vAlign w:val="center"/>
          </w:tcPr>
          <w:p>
            <w:pPr>
              <w:pStyle w:val="Compact"/>
              <w:jc w:val="left"/>
            </w:pPr>
            <w:r>
              <w:rPr>
                <w:b/>
                <w:color w:val="FFFFFF"/>
              </w:rPr>
              <w:t xml:space="preserve">Rôle</w:t>
            </w:r>
          </w:p>
        </w:tc>
        <w:tc>
          <w:tcPr>
            <w:shd w:val="clear" w:color="auto" w:fill="1E2761"/>
            <w:vAlign w:val="center"/>
          </w:tcPr>
          <w:p>
            <w:pPr>
              <w:pStyle w:val="Compact"/>
              <w:jc w:val="left"/>
            </w:pPr>
            <w:r>
              <w:rPr>
                <w:b/>
                <w:color w:val="FFFFFF"/>
              </w:rPr>
              <w:t xml:space="preserve">Nom</w:t>
            </w:r>
          </w:p>
        </w:tc>
        <w:tc>
          <w:tcPr>
            <w:shd w:val="clear" w:color="auto" w:fill="1E2761"/>
            <w:vAlign w:val="center"/>
          </w:tcPr>
          <w:p>
            <w:pPr>
              <w:pStyle w:val="Compact"/>
              <w:jc w:val="left"/>
            </w:pPr>
            <w:r>
              <w:rPr>
                <w:b/>
                <w:color w:val="FFFFFF"/>
              </w:rPr>
              <w:t xml:space="preserve">Hex</w:t>
            </w:r>
          </w:p>
        </w:tc>
        <w:tc>
          <w:tcPr>
            <w:shd w:val="clear" w:color="auto" w:fill="1E2761"/>
            <w:vAlign w:val="center"/>
          </w:tcPr>
          <w:p>
            <w:pPr>
              <w:pStyle w:val="Compact"/>
              <w:jc w:val="left"/>
            </w:pPr>
            <w:r>
              <w:rPr>
                <w:b/>
                <w:color w:val="FFFFFF"/>
              </w:rPr>
              <w:t xml:space="preserve">Usage</w:t>
            </w:r>
          </w:p>
        </w:tc>
      </w:tr>
      <w:tr>
        <w:tc>
          <w:tcPr/>
          <w:p>
            <w:pPr>
              <w:pStyle w:val="Compact"/>
              <w:jc w:val="left"/>
            </w:pPr>
            <w:r>
              <w:t xml:space="preserve">Texte principal</w:t>
            </w:r>
          </w:p>
        </w:tc>
        <w:tc>
          <w:tcPr/>
          <w:p>
            <w:pPr>
              <w:pStyle w:val="Compact"/>
              <w:jc w:val="left"/>
            </w:pPr>
            <w:r>
              <w:t xml:space="preserve">Encre</w:t>
            </w:r>
          </w:p>
        </w:tc>
        <w:tc>
          <w:tcPr/>
          <w:p>
            <w:pPr>
              <w:pStyle w:val="Compact"/>
              <w:jc w:val="left"/>
            </w:pPr>
            <w:r>
              <w:rPr>
                <w:rStyle w:val="VerbatimChar"/>
              </w:rPr>
              <w:t xml:space="preserve">#1A2238</w:t>
            </w:r>
          </w:p>
        </w:tc>
        <w:tc>
          <w:tcPr/>
          <w:p>
            <w:pPr>
              <w:pStyle w:val="Compact"/>
              <w:jc w:val="left"/>
            </w:pPr>
            <w:r>
              <w:t xml:space="preserve">Corps de texte sur fond clair</w:t>
            </w:r>
          </w:p>
        </w:tc>
      </w:tr>
      <w:tr>
        <w:tc>
          <w:tcPr/>
          <w:p>
            <w:pPr>
              <w:pStyle w:val="Compact"/>
              <w:jc w:val="left"/>
            </w:pPr>
            <w:r>
              <w:t xml:space="preserve">Texte secondaire</w:t>
            </w:r>
          </w:p>
        </w:tc>
        <w:tc>
          <w:tcPr/>
          <w:p>
            <w:pPr>
              <w:pStyle w:val="Compact"/>
              <w:jc w:val="left"/>
            </w:pPr>
            <w:r>
              <w:t xml:space="preserve">Ardoise</w:t>
            </w:r>
          </w:p>
        </w:tc>
        <w:tc>
          <w:tcPr/>
          <w:p>
            <w:pPr>
              <w:pStyle w:val="Compact"/>
              <w:jc w:val="left"/>
            </w:pPr>
            <w:r>
              <w:rPr>
                <w:rStyle w:val="VerbatimChar"/>
              </w:rPr>
              <w:t xml:space="preserve">#5B6480</w:t>
            </w:r>
          </w:p>
        </w:tc>
        <w:tc>
          <w:tcPr/>
          <w:p>
            <w:pPr>
              <w:pStyle w:val="Compact"/>
              <w:jc w:val="left"/>
            </w:pPr>
            <w:r>
              <w:t xml:space="preserve">Légendes, texte muté</w:t>
            </w:r>
          </w:p>
        </w:tc>
      </w:tr>
      <w:tr>
        <w:tc>
          <w:tcPr/>
          <w:p>
            <w:pPr>
              <w:pStyle w:val="Compact"/>
              <w:jc w:val="left"/>
            </w:pPr>
            <w:r>
              <w:t xml:space="preserve">Fond clair</w:t>
            </w:r>
          </w:p>
        </w:tc>
        <w:tc>
          <w:tcPr/>
          <w:p>
            <w:pPr>
              <w:pStyle w:val="Compact"/>
              <w:jc w:val="left"/>
            </w:pPr>
            <w:r>
              <w:t xml:space="preserve">Blanc</w:t>
            </w:r>
          </w:p>
        </w:tc>
        <w:tc>
          <w:tcPr/>
          <w:p>
            <w:pPr>
              <w:pStyle w:val="Compact"/>
              <w:jc w:val="left"/>
            </w:pPr>
            <w:r>
              <w:rPr>
                <w:rStyle w:val="VerbatimChar"/>
              </w:rPr>
              <w:t xml:space="preserve">#FFFFFF</w:t>
            </w:r>
          </w:p>
        </w:tc>
        <w:tc>
          <w:tcPr/>
          <w:p>
            <w:pPr>
              <w:pStyle w:val="Compact"/>
              <w:jc w:val="left"/>
            </w:pPr>
            <w:r>
              <w:t xml:space="preserve">Fond principal des écrans</w:t>
            </w:r>
          </w:p>
        </w:tc>
      </w:tr>
      <w:tr>
        <w:tc>
          <w:tcPr/>
          <w:p>
            <w:pPr>
              <w:pStyle w:val="Compact"/>
              <w:jc w:val="left"/>
            </w:pPr>
            <w:r>
              <w:t xml:space="preserve">Fond de carte</w:t>
            </w:r>
          </w:p>
        </w:tc>
        <w:tc>
          <w:tcPr/>
          <w:p>
            <w:pPr>
              <w:pStyle w:val="Compact"/>
              <w:jc w:val="left"/>
            </w:pPr>
            <w:r>
              <w:t xml:space="preserve">Gris bleuté</w:t>
            </w:r>
          </w:p>
        </w:tc>
        <w:tc>
          <w:tcPr/>
          <w:p>
            <w:pPr>
              <w:pStyle w:val="Compact"/>
              <w:jc w:val="left"/>
            </w:pPr>
            <w:r>
              <w:rPr>
                <w:rStyle w:val="VerbatimChar"/>
              </w:rPr>
              <w:t xml:space="preserve">#F4F7FC</w:t>
            </w:r>
          </w:p>
        </w:tc>
        <w:tc>
          <w:tcPr/>
          <w:p>
            <w:pPr>
              <w:pStyle w:val="Compact"/>
              <w:jc w:val="left"/>
            </w:pPr>
            <w:r>
              <w:t xml:space="preserve">Cartes, conteneurs</w:t>
            </w:r>
          </w:p>
        </w:tc>
      </w:tr>
      <w:tr>
        <w:tc>
          <w:tcPr/>
          <w:p>
            <w:pPr>
              <w:pStyle w:val="Compact"/>
              <w:jc w:val="left"/>
            </w:pPr>
            <w:r>
              <w:t xml:space="preserve">Bordure</w:t>
            </w:r>
          </w:p>
        </w:tc>
        <w:tc>
          <w:tcPr/>
          <w:p>
            <w:pPr>
              <w:pStyle w:val="Compact"/>
              <w:jc w:val="left"/>
            </w:pPr>
            <w:r>
              <w:t xml:space="preserve">Gris ligne</w:t>
            </w:r>
          </w:p>
        </w:tc>
        <w:tc>
          <w:tcPr/>
          <w:p>
            <w:pPr>
              <w:pStyle w:val="Compact"/>
              <w:jc w:val="left"/>
            </w:pPr>
            <w:r>
              <w:rPr>
                <w:rStyle w:val="VerbatimChar"/>
              </w:rPr>
              <w:t xml:space="preserve">#DCE4F2</w:t>
            </w:r>
          </w:p>
        </w:tc>
        <w:tc>
          <w:tcPr/>
          <w:p>
            <w:pPr>
              <w:pStyle w:val="Compact"/>
              <w:jc w:val="left"/>
            </w:pPr>
            <w:r>
              <w:t xml:space="preserve">Séparateurs, contours de cartes</w:t>
            </w:r>
          </w:p>
        </w:tc>
      </w:tr>
    </w:tbl>
    <w:p>
      <w:pPr>
        <w:pStyle w:val="BodyText"/>
      </w:pPr>
      <w:r>
        <w:rPr>
          <w:bCs/>
          <w:b/>
        </w:rPr>
        <w:t xml:space="preserve">Règle de dominance :</w:t>
      </w:r>
      <w:r>
        <w:t xml:space="preserve"> </w:t>
      </w:r>
      <w:r>
        <w:t xml:space="preserve">le bleu marine porte 60-70 % du poids visuel, les tons de soutien 20-30 %, l’or ambré reste un accent rare (moins de 10 %). Éviter d’utiliser toutes les couleurs à poids égal.</w:t>
      </w:r>
    </w:p>
    <w:bookmarkEnd w:id="68"/>
    <w:bookmarkStart w:id="69" w:name="typographie"/>
    <w:p>
      <w:pPr>
        <w:pStyle w:val="Heading2"/>
      </w:pPr>
      <w:r>
        <w:t xml:space="preserve">8.3 Typographie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Élément</w:t>
            </w:r>
          </w:p>
        </w:tc>
        <w:tc>
          <w:tcPr>
            <w:shd w:val="clear" w:color="auto" w:fill="1E2761"/>
            <w:vAlign w:val="center"/>
          </w:tcPr>
          <w:p>
            <w:pPr>
              <w:pStyle w:val="Compact"/>
              <w:jc w:val="left"/>
            </w:pPr>
            <w:r>
              <w:rPr>
                <w:b/>
                <w:color w:val="FFFFFF"/>
              </w:rPr>
              <w:t xml:space="preserve">Police</w:t>
            </w:r>
          </w:p>
        </w:tc>
        <w:tc>
          <w:tcPr>
            <w:shd w:val="clear" w:color="auto" w:fill="1E2761"/>
            <w:vAlign w:val="center"/>
          </w:tcPr>
          <w:p>
            <w:pPr>
              <w:pStyle w:val="Compact"/>
              <w:jc w:val="left"/>
            </w:pPr>
            <w:r>
              <w:rPr>
                <w:b/>
                <w:color w:val="FFFFFF"/>
              </w:rPr>
              <w:t xml:space="preserve">Taille indicative</w:t>
            </w:r>
          </w:p>
        </w:tc>
      </w:tr>
      <w:tr>
        <w:tc>
          <w:tcPr/>
          <w:p>
            <w:pPr>
              <w:pStyle w:val="Compact"/>
              <w:jc w:val="left"/>
            </w:pPr>
            <w:r>
              <w:t xml:space="preserve">Titres</w:t>
            </w:r>
          </w:p>
        </w:tc>
        <w:tc>
          <w:tcPr/>
          <w:p>
            <w:pPr>
              <w:pStyle w:val="Compact"/>
              <w:jc w:val="left"/>
            </w:pPr>
            <w:r>
              <w:t xml:space="preserve">Police serif de confiance (ex. Cambria / Georgia) ou sans-serif géométrique</w:t>
            </w:r>
          </w:p>
        </w:tc>
        <w:tc>
          <w:tcPr/>
          <w:p>
            <w:pPr>
              <w:pStyle w:val="Compact"/>
              <w:jc w:val="left"/>
            </w:pPr>
            <w:r>
              <w:t xml:space="preserve">28-40 px</w:t>
            </w:r>
          </w:p>
        </w:tc>
      </w:tr>
      <w:tr>
        <w:tc>
          <w:tcPr/>
          <w:p>
            <w:pPr>
              <w:pStyle w:val="Compact"/>
              <w:jc w:val="left"/>
            </w:pPr>
            <w:r>
              <w:t xml:space="preserve">Sous-titres</w:t>
            </w:r>
          </w:p>
        </w:tc>
        <w:tc>
          <w:tcPr/>
          <w:p>
            <w:pPr>
              <w:pStyle w:val="Compact"/>
              <w:jc w:val="left"/>
            </w:pPr>
            <w:r>
              <w:t xml:space="preserve">Même famille, poids semi-gras</w:t>
            </w:r>
          </w:p>
        </w:tc>
        <w:tc>
          <w:tcPr/>
          <w:p>
            <w:pPr>
              <w:pStyle w:val="Compact"/>
              <w:jc w:val="left"/>
            </w:pPr>
            <w:r>
              <w:t xml:space="preserve">20-24 px</w:t>
            </w:r>
          </w:p>
        </w:tc>
      </w:tr>
      <w:tr>
        <w:tc>
          <w:tcPr/>
          <w:p>
            <w:pPr>
              <w:pStyle w:val="Compact"/>
              <w:jc w:val="left"/>
            </w:pPr>
            <w:r>
              <w:t xml:space="preserve">Corps de texte</w:t>
            </w:r>
          </w:p>
        </w:tc>
        <w:tc>
          <w:tcPr/>
          <w:p>
            <w:pPr>
              <w:pStyle w:val="Compact"/>
              <w:jc w:val="left"/>
            </w:pPr>
            <w:r>
              <w:t xml:space="preserve">Sans-serif lisible (ex. Inter, Calibri, Arial)</w:t>
            </w:r>
          </w:p>
        </w:tc>
        <w:tc>
          <w:tcPr/>
          <w:p>
            <w:pPr>
              <w:pStyle w:val="Compact"/>
              <w:jc w:val="left"/>
            </w:pPr>
            <w:r>
              <w:t xml:space="preserve">14-16 px</w:t>
            </w:r>
          </w:p>
        </w:tc>
      </w:tr>
      <w:tr>
        <w:tc>
          <w:tcPr/>
          <w:p>
            <w:pPr>
              <w:pStyle w:val="Compact"/>
              <w:jc w:val="left"/>
            </w:pPr>
            <w:r>
              <w:t xml:space="preserve">Légendes</w:t>
            </w:r>
          </w:p>
        </w:tc>
        <w:tc>
          <w:tcPr/>
          <w:p>
            <w:pPr>
              <w:pStyle w:val="Compact"/>
              <w:jc w:val="left"/>
            </w:pPr>
            <w:r>
              <w:t xml:space="preserve">Sans-serif, ton muté</w:t>
            </w:r>
          </w:p>
        </w:tc>
        <w:tc>
          <w:tcPr/>
          <w:p>
            <w:pPr>
              <w:pStyle w:val="Compact"/>
              <w:jc w:val="left"/>
            </w:pPr>
            <w:r>
              <w:t xml:space="preserve">11-12 px</w:t>
            </w:r>
          </w:p>
        </w:tc>
      </w:tr>
    </w:tbl>
    <w:p>
      <w:pPr>
        <w:pStyle w:val="BodyText"/>
      </w:pPr>
      <w:r>
        <w:t xml:space="preserve">Recommandation : une police sans-serif moderne et lisible pour l’interface (bonne lisibilité des chiffres, essentielle pour un outil financier), éventuellement associée à une serif sobre pour les grands titres afin d’apporter une touche « premium ».</w:t>
      </w:r>
    </w:p>
    <w:bookmarkEnd w:id="69"/>
    <w:bookmarkStart w:id="70" w:name="iconographie-et-composants"/>
    <w:p>
      <w:pPr>
        <w:pStyle w:val="Heading2"/>
      </w:pPr>
      <w:r>
        <w:t xml:space="preserve">8.4 Iconographie et composants</w:t>
      </w:r>
    </w:p>
    <w:p>
      <w:pPr>
        <w:numPr>
          <w:ilvl w:val="0"/>
          <w:numId w:val="1010"/>
        </w:numPr>
        <w:pStyle w:val="Compact"/>
      </w:pPr>
      <w:r>
        <w:t xml:space="preserve">Icônes linéaires simples, style cohérent, dans des pastilles circulaires bleu marine ou glacier.</w:t>
      </w:r>
    </w:p>
    <w:p>
      <w:pPr>
        <w:numPr>
          <w:ilvl w:val="0"/>
          <w:numId w:val="1010"/>
        </w:numPr>
        <w:pStyle w:val="Compact"/>
      </w:pPr>
      <w:r>
        <w:t xml:space="preserve">Cartes à coins arrondis (rayon 8-10 px), ombre douce et discrète, pas de bordures colorées épaisses.</w:t>
      </w:r>
    </w:p>
    <w:p>
      <w:pPr>
        <w:numPr>
          <w:ilvl w:val="0"/>
          <w:numId w:val="1010"/>
        </w:numPr>
        <w:pStyle w:val="Compact"/>
      </w:pPr>
      <w:r>
        <w:t xml:space="preserve">Boutons : primaire bleu marine plein, secondaire contour, accent or réservé aux appels à l’action de valeur.</w:t>
      </w:r>
    </w:p>
    <w:p>
      <w:pPr>
        <w:numPr>
          <w:ilvl w:val="0"/>
          <w:numId w:val="1010"/>
        </w:numPr>
        <w:pStyle w:val="Compact"/>
      </w:pPr>
      <w:r>
        <w:t xml:space="preserve">Espacements généreux (marges min. 16 px), respiration entre les blocs.</w:t>
      </w:r>
    </w:p>
    <w:bookmarkEnd w:id="70"/>
    <w:bookmarkStart w:id="71" w:name="ton-et-langage-de-linterface"/>
    <w:p>
      <w:pPr>
        <w:pStyle w:val="Heading2"/>
      </w:pPr>
      <w:r>
        <w:t xml:space="preserve">8.5 Ton et langage de l’interface</w:t>
      </w:r>
    </w:p>
    <w:p>
      <w:pPr>
        <w:pStyle w:val="FirstParagraph"/>
      </w:pPr>
      <w:r>
        <w:t xml:space="preserve">Langage clair, professionnel et rassurant. Éviter le jargon technique non expliqué. Toujours accompagner une donnée sensible d’une indication de statut (« simulation », « à valider », « validé »). Formuler les alertes de manière factuelle et orientée solution.</w:t>
      </w:r>
    </w:p>
    <w:p>
      <w:r>
        <w:pict>
          <v:rect style="width:0;height:1.5pt" o:hralign="center" o:hrstd="t" o:hr="t"/>
        </w:pict>
      </w:r>
    </w:p>
    <w:bookmarkEnd w:id="71"/>
    <w:bookmarkEnd w:id="72"/>
    <w:bookmarkStart w:id="76" w:name="recette-tests-et-critères-dacceptation"/>
    <w:p>
      <w:pPr>
        <w:pStyle w:val="Heading1"/>
      </w:pPr>
      <w:r>
        <w:t xml:space="preserve">9. Recette, tests et critères d’acceptation</w:t>
      </w:r>
    </w:p>
    <w:bookmarkStart w:id="73" w:name="stratégie-de-tests"/>
    <w:p>
      <w:pPr>
        <w:pStyle w:val="Heading2"/>
      </w:pPr>
      <w:r>
        <w:t xml:space="preserve">9.1 Stratégie de tests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Type de test</w:t>
            </w:r>
          </w:p>
        </w:tc>
        <w:tc>
          <w:tcPr>
            <w:shd w:val="clear" w:color="auto" w:fill="1E2761"/>
            <w:vAlign w:val="center"/>
          </w:tcPr>
          <w:p>
            <w:pPr>
              <w:pStyle w:val="Compact"/>
              <w:jc w:val="left"/>
            </w:pPr>
            <w:r>
              <w:rPr>
                <w:b/>
                <w:color w:val="FFFFFF"/>
              </w:rPr>
              <w:t xml:space="preserve">Portée</w:t>
            </w:r>
          </w:p>
        </w:tc>
        <w:tc>
          <w:tcPr>
            <w:shd w:val="clear" w:color="auto" w:fill="1E2761"/>
            <w:vAlign w:val="center"/>
          </w:tcPr>
          <w:p>
            <w:pPr>
              <w:pStyle w:val="Compact"/>
              <w:jc w:val="left"/>
            </w:pPr>
            <w:r>
              <w:rPr>
                <w:b/>
                <w:color w:val="FFFFFF"/>
              </w:rPr>
              <w:t xml:space="preserve">Responsable</w:t>
            </w:r>
          </w:p>
        </w:tc>
      </w:tr>
      <w:tr>
        <w:tc>
          <w:tcPr/>
          <w:p>
            <w:pPr>
              <w:pStyle w:val="Compact"/>
              <w:jc w:val="left"/>
            </w:pPr>
            <w:r>
              <w:t xml:space="preserve">Tests unitaires</w:t>
            </w:r>
          </w:p>
        </w:tc>
        <w:tc>
          <w:tcPr/>
          <w:p>
            <w:pPr>
              <w:pStyle w:val="Compact"/>
              <w:jc w:val="left"/>
            </w:pPr>
            <w:r>
              <w:t xml:space="preserve">Fonctions et composants</w:t>
            </w:r>
          </w:p>
        </w:tc>
        <w:tc>
          <w:tcPr/>
          <w:p>
            <w:pPr>
              <w:pStyle w:val="Compact"/>
              <w:jc w:val="left"/>
            </w:pPr>
            <w:r>
              <w:t xml:space="preserve">Développeurs</w:t>
            </w:r>
          </w:p>
        </w:tc>
      </w:tr>
      <w:tr>
        <w:tc>
          <w:tcPr/>
          <w:p>
            <w:pPr>
              <w:pStyle w:val="Compact"/>
              <w:jc w:val="left"/>
            </w:pPr>
            <w:r>
              <w:t xml:space="preserve">Tests d’intégration</w:t>
            </w:r>
          </w:p>
        </w:tc>
        <w:tc>
          <w:tcPr/>
          <w:p>
            <w:pPr>
              <w:pStyle w:val="Compact"/>
              <w:jc w:val="left"/>
            </w:pPr>
            <w:r>
              <w:t xml:space="preserve">Modules et connecteurs</w:t>
            </w:r>
          </w:p>
        </w:tc>
        <w:tc>
          <w:tcPr/>
          <w:p>
            <w:pPr>
              <w:pStyle w:val="Compact"/>
              <w:jc w:val="left"/>
            </w:pPr>
            <w:r>
              <w:t xml:space="preserve">Développeurs / QA</w:t>
            </w:r>
          </w:p>
        </w:tc>
      </w:tr>
      <w:tr>
        <w:tc>
          <w:tcPr/>
          <w:p>
            <w:pPr>
              <w:pStyle w:val="Compact"/>
              <w:jc w:val="left"/>
            </w:pPr>
            <w:r>
              <w:t xml:space="preserve">Tests end-to-end</w:t>
            </w:r>
          </w:p>
        </w:tc>
        <w:tc>
          <w:tcPr/>
          <w:p>
            <w:pPr>
              <w:pStyle w:val="Compact"/>
              <w:jc w:val="left"/>
            </w:pPr>
            <w:r>
              <w:t xml:space="preserve">Parcours critiques (onboarding, dépôt, cockpit)</w:t>
            </w:r>
          </w:p>
        </w:tc>
        <w:tc>
          <w:tcPr/>
          <w:p>
            <w:pPr>
              <w:pStyle w:val="Compact"/>
              <w:jc w:val="left"/>
            </w:pPr>
            <w:r>
              <w:t xml:space="preserve">QA</w:t>
            </w:r>
          </w:p>
        </w:tc>
      </w:tr>
      <w:tr>
        <w:tc>
          <w:tcPr/>
          <w:p>
            <w:pPr>
              <w:pStyle w:val="Compact"/>
              <w:jc w:val="left"/>
            </w:pPr>
            <w:r>
              <w:t xml:space="preserve">Tests de charge</w:t>
            </w:r>
          </w:p>
        </w:tc>
        <w:tc>
          <w:tcPr/>
          <w:p>
            <w:pPr>
              <w:pStyle w:val="Compact"/>
              <w:jc w:val="left"/>
            </w:pPr>
            <w:r>
              <w:t xml:space="preserve">Performance sous 500 utilisateurs simultanés</w:t>
            </w:r>
          </w:p>
        </w:tc>
        <w:tc>
          <w:tcPr/>
          <w:p>
            <w:pPr>
              <w:pStyle w:val="Compact"/>
              <w:jc w:val="left"/>
            </w:pPr>
            <w:r>
              <w:t xml:space="preserve">QA / DevOps</w:t>
            </w:r>
          </w:p>
        </w:tc>
      </w:tr>
      <w:tr>
        <w:tc>
          <w:tcPr/>
          <w:p>
            <w:pPr>
              <w:pStyle w:val="Compact"/>
              <w:jc w:val="left"/>
            </w:pPr>
            <w:r>
              <w:t xml:space="preserve">Tests de sécurité</w:t>
            </w:r>
          </w:p>
        </w:tc>
        <w:tc>
          <w:tcPr/>
          <w:p>
            <w:pPr>
              <w:pStyle w:val="Compact"/>
              <w:jc w:val="left"/>
            </w:pPr>
            <w:r>
              <w:t xml:space="preserve">Pentest, revue OWASP</w:t>
            </w:r>
          </w:p>
        </w:tc>
        <w:tc>
          <w:tcPr/>
          <w:p>
            <w:pPr>
              <w:pStyle w:val="Compact"/>
              <w:jc w:val="left"/>
            </w:pPr>
            <w:r>
              <w:t xml:space="preserve">Prestataire sécurité</w:t>
            </w:r>
          </w:p>
        </w:tc>
      </w:tr>
      <w:tr>
        <w:tc>
          <w:tcPr/>
          <w:p>
            <w:pPr>
              <w:pStyle w:val="Compact"/>
              <w:jc w:val="left"/>
            </w:pPr>
            <w:r>
              <w:t xml:space="preserve">Recette métier (UAT)</w:t>
            </w:r>
          </w:p>
        </w:tc>
        <w:tc>
          <w:tcPr/>
          <w:p>
            <w:pPr>
              <w:pStyle w:val="Compact"/>
              <w:jc w:val="left"/>
            </w:pPr>
            <w:r>
              <w:t xml:space="preserve">Validation par la MOA et un panel pilote</w:t>
            </w:r>
          </w:p>
        </w:tc>
        <w:tc>
          <w:tcPr/>
          <w:p>
            <w:pPr>
              <w:pStyle w:val="Compact"/>
              <w:jc w:val="left"/>
            </w:pPr>
            <w:r>
              <w:t xml:space="preserve">MOA / pilotes</w:t>
            </w:r>
          </w:p>
        </w:tc>
      </w:tr>
      <w:tr>
        <w:tc>
          <w:tcPr/>
          <w:p>
            <w:pPr>
              <w:pStyle w:val="Compact"/>
              <w:jc w:val="left"/>
            </w:pPr>
            <w:r>
              <w:t xml:space="preserve">Red team métier</w:t>
            </w:r>
          </w:p>
        </w:tc>
        <w:tc>
          <w:tcPr/>
          <w:p>
            <w:pPr>
              <w:pStyle w:val="Compact"/>
              <w:jc w:val="left"/>
            </w:pPr>
            <w:r>
              <w:t xml:space="preserve">Tests d’hallucination, de fuite, de mauvais routage IA</w:t>
            </w:r>
          </w:p>
        </w:tc>
        <w:tc>
          <w:tcPr/>
          <w:p>
            <w:pPr>
              <w:pStyle w:val="Compact"/>
              <w:jc w:val="left"/>
            </w:pPr>
            <w:r>
              <w:t xml:space="preserve">EC, avocat, DPO, dirigeants</w:t>
            </w:r>
          </w:p>
        </w:tc>
      </w:tr>
    </w:tbl>
    <w:bookmarkEnd w:id="73"/>
    <w:bookmarkStart w:id="74" w:name="definition-of-done-par-fonctionnalité"/>
    <w:p>
      <w:pPr>
        <w:pStyle w:val="Heading2"/>
      </w:pPr>
      <w:r>
        <w:t xml:space="preserve">9.2 Definition of Done (par fonctionnalité)</w:t>
      </w:r>
    </w:p>
    <w:p>
      <w:pPr>
        <w:pStyle w:val="FirstParagraph"/>
      </w:pPr>
      <w:r>
        <w:t xml:space="preserve">Une fonctionnalité est considérée « terminée » si : le code est revu (peer review) et fusionné, les tests automatisés passent, les critères d’acceptation des user stories sont satisfaits, la documentation est à jour, aucune régression n’est introduite, et la fonctionnalité est validée en recette.</w:t>
      </w:r>
    </w:p>
    <w:bookmarkEnd w:id="74"/>
    <w:bookmarkStart w:id="75" w:name="critères-de-recette-globaux-v1-go-live"/>
    <w:p>
      <w:pPr>
        <w:pStyle w:val="Heading2"/>
      </w:pPr>
      <w:r>
        <w:t xml:space="preserve">9.3 Critères de recette globaux V1 (go-live)</w:t>
      </w:r>
    </w:p>
    <w:p>
      <w:pPr>
        <w:numPr>
          <w:ilvl w:val="0"/>
          <w:numId w:val="1011"/>
        </w:numPr>
        <w:pStyle w:val="Compact"/>
      </w:pPr>
      <w:r>
        <w:t xml:space="preserve">Tous les modules du périmètre V1 fonctionnels et validés en UAT.</w:t>
      </w:r>
    </w:p>
    <w:p>
      <w:pPr>
        <w:numPr>
          <w:ilvl w:val="0"/>
          <w:numId w:val="1011"/>
        </w:numPr>
        <w:pStyle w:val="Compact"/>
      </w:pPr>
      <w:r>
        <w:t xml:space="preserve">Objectifs de performance et de disponibilité atteints en environnement de recette.</w:t>
      </w:r>
    </w:p>
    <w:p>
      <w:pPr>
        <w:numPr>
          <w:ilvl w:val="0"/>
          <w:numId w:val="1011"/>
        </w:numPr>
        <w:pStyle w:val="Compact"/>
      </w:pPr>
      <w:r>
        <w:t xml:space="preserve">Pentest réalisé sans vulnérabilité critique ou élevée non corrigée.</w:t>
      </w:r>
    </w:p>
    <w:p>
      <w:pPr>
        <w:numPr>
          <w:ilvl w:val="0"/>
          <w:numId w:val="1011"/>
        </w:numPr>
        <w:pStyle w:val="Compact"/>
      </w:pPr>
      <w:r>
        <w:t xml:space="preserve">DPA, registre des traitements et politique IA en place.</w:t>
      </w:r>
    </w:p>
    <w:p>
      <w:pPr>
        <w:numPr>
          <w:ilvl w:val="0"/>
          <w:numId w:val="1011"/>
        </w:numPr>
        <w:pStyle w:val="Compact"/>
      </w:pPr>
      <w:r>
        <w:t xml:space="preserve">Au moins un connecteur PDP / bancaire / import validé, avec procédure de réversibilité.</w:t>
      </w:r>
    </w:p>
    <w:p>
      <w:pPr>
        <w:numPr>
          <w:ilvl w:val="0"/>
          <w:numId w:val="1011"/>
        </w:numPr>
        <w:pStyle w:val="Compact"/>
      </w:pPr>
      <w:r>
        <w:t xml:space="preserve">Pilote réel : les dirigeants utilisent le produit et le temps gagné est mesuré.</w:t>
      </w:r>
    </w:p>
    <w:p>
      <w:r>
        <w:pict>
          <v:rect style="width:0;height:1.5pt" o:hralign="center" o:hrstd="t" o:hr="t"/>
        </w:pict>
      </w:r>
    </w:p>
    <w:bookmarkEnd w:id="75"/>
    <w:bookmarkEnd w:id="76"/>
    <w:bookmarkStart w:id="83" w:name="déploiement-et-exploitation-run"/>
    <w:p>
      <w:pPr>
        <w:pStyle w:val="Heading1"/>
      </w:pPr>
      <w:r>
        <w:t xml:space="preserve">10. Déploiement et exploitation (« run »)</w:t>
      </w:r>
    </w:p>
    <w:bookmarkStart w:id="77" w:name="environnements"/>
    <w:p>
      <w:pPr>
        <w:pStyle w:val="Heading2"/>
      </w:pPr>
      <w:r>
        <w:t xml:space="preserve">10.1 Environnements</w:t>
      </w:r>
    </w:p>
    <w:p>
      <w:pPr>
        <w:pStyle w:val="FirstParagraph"/>
      </w:pPr>
      <w:r>
        <w:t xml:space="preserve">Trois environnements séparés et isolés : développement, recette (pré-production), production. Les données de production ne sont jamais utilisées telles quelles en dev/recette (anonymisation obligatoire).</w:t>
      </w:r>
    </w:p>
    <w:bookmarkEnd w:id="77"/>
    <w:bookmarkStart w:id="78" w:name="processus-de-déploiement"/>
    <w:p>
      <w:pPr>
        <w:pStyle w:val="Heading2"/>
      </w:pPr>
      <w:r>
        <w:t xml:space="preserve">10.2 Processus de déploiement</w:t>
      </w:r>
    </w:p>
    <w:p>
      <w:pPr>
        <w:numPr>
          <w:ilvl w:val="0"/>
          <w:numId w:val="1012"/>
        </w:numPr>
        <w:pStyle w:val="Compact"/>
      </w:pPr>
      <w:r>
        <w:t xml:space="preserve">Déploiement continu via pipeline CI/CD avec validation automatique.</w:t>
      </w:r>
    </w:p>
    <w:p>
      <w:pPr>
        <w:numPr>
          <w:ilvl w:val="0"/>
          <w:numId w:val="1012"/>
        </w:numPr>
        <w:pStyle w:val="Compact"/>
      </w:pPr>
      <w:r>
        <w:t xml:space="preserve">Déploiements en production planifiés, réversibles (rollback), et annoncés.</w:t>
      </w:r>
    </w:p>
    <w:p>
      <w:pPr>
        <w:numPr>
          <w:ilvl w:val="0"/>
          <w:numId w:val="1012"/>
        </w:numPr>
        <w:pStyle w:val="Compact"/>
      </w:pPr>
      <w:r>
        <w:t xml:space="preserve">Versionnement sémantique et notes de version.</w:t>
      </w:r>
    </w:p>
    <w:bookmarkEnd w:id="78"/>
    <w:bookmarkStart w:id="79" w:name="supervision-et-monitoring"/>
    <w:p>
      <w:pPr>
        <w:pStyle w:val="Heading2"/>
      </w:pPr>
      <w:r>
        <w:t xml:space="preserve">10.3 Supervision et monitoring</w:t>
      </w:r>
    </w:p>
    <w:p>
      <w:pPr>
        <w:numPr>
          <w:ilvl w:val="0"/>
          <w:numId w:val="1013"/>
        </w:numPr>
        <w:pStyle w:val="Compact"/>
      </w:pPr>
      <w:r>
        <w:t xml:space="preserve">Monitoring applicatif et infrastructure (disponibilité, latence, erreurs).</w:t>
      </w:r>
    </w:p>
    <w:p>
      <w:pPr>
        <w:numPr>
          <w:ilvl w:val="0"/>
          <w:numId w:val="1013"/>
        </w:numPr>
        <w:pStyle w:val="Compact"/>
      </w:pPr>
      <w:r>
        <w:t xml:space="preserve">Alertes automatiques en cas d’incident ou de dépassement de seuil.</w:t>
      </w:r>
    </w:p>
    <w:p>
      <w:pPr>
        <w:numPr>
          <w:ilvl w:val="0"/>
          <w:numId w:val="1013"/>
        </w:numPr>
        <w:pStyle w:val="Compact"/>
      </w:pPr>
      <w:r>
        <w:t xml:space="preserve">Suivi de l’usage produit (activation, adoption) via outil d’analytics respectueux du RGPD.</w:t>
      </w:r>
    </w:p>
    <w:p>
      <w:pPr>
        <w:numPr>
          <w:ilvl w:val="0"/>
          <w:numId w:val="1013"/>
        </w:numPr>
        <w:pStyle w:val="Compact"/>
      </w:pPr>
      <w:r>
        <w:t xml:space="preserve">Suivi de la santé des connecteurs externes (banque, PDP, OCR).</w:t>
      </w:r>
    </w:p>
    <w:bookmarkEnd w:id="79"/>
    <w:bookmarkStart w:id="80" w:name="gestion-des-incidents-et-support"/>
    <w:p>
      <w:pPr>
        <w:pStyle w:val="Heading2"/>
      </w:pPr>
      <w:r>
        <w:t xml:space="preserve">10.4 Gestion des incidents et support</w:t>
      </w:r>
    </w:p>
    <w:p>
      <w:pPr>
        <w:numPr>
          <w:ilvl w:val="0"/>
          <w:numId w:val="1014"/>
        </w:numPr>
        <w:pStyle w:val="Compact"/>
      </w:pPr>
      <w:r>
        <w:t xml:space="preserve">Support client de niveau 1 (fonctionnel) et escalade niveau 2 (technique).</w:t>
      </w:r>
    </w:p>
    <w:p>
      <w:pPr>
        <w:numPr>
          <w:ilvl w:val="0"/>
          <w:numId w:val="1014"/>
        </w:numPr>
        <w:pStyle w:val="Compact"/>
      </w:pPr>
      <w:r>
        <w:t xml:space="preserve">Procédure de gestion d’incident documentée, avec délais de prise en charge par criticité.</w:t>
      </w:r>
    </w:p>
    <w:p>
      <w:pPr>
        <w:numPr>
          <w:ilvl w:val="0"/>
          <w:numId w:val="1014"/>
        </w:numPr>
        <w:pStyle w:val="Compact"/>
      </w:pPr>
      <w:r>
        <w:t xml:space="preserve">Procédure de gestion des violations de données (notification conforme RGPD).</w:t>
      </w:r>
    </w:p>
    <w:bookmarkEnd w:id="80"/>
    <w:bookmarkStart w:id="81" w:name="sauvegarde-et-réversibilité"/>
    <w:p>
      <w:pPr>
        <w:pStyle w:val="Heading2"/>
      </w:pPr>
      <w:r>
        <w:t xml:space="preserve">10.5 Sauvegarde et réversibilité</w:t>
      </w:r>
    </w:p>
    <w:p>
      <w:pPr>
        <w:numPr>
          <w:ilvl w:val="0"/>
          <w:numId w:val="1015"/>
        </w:numPr>
        <w:pStyle w:val="Compact"/>
      </w:pPr>
      <w:r>
        <w:t xml:space="preserve">Sauvegardes chiffrées quotidiennes, testées régulièrement.</w:t>
      </w:r>
    </w:p>
    <w:p>
      <w:pPr>
        <w:numPr>
          <w:ilvl w:val="0"/>
          <w:numId w:val="1015"/>
        </w:numPr>
        <w:pStyle w:val="Compact"/>
      </w:pPr>
      <w:r>
        <w:t xml:space="preserve">Export des données client à la demande (réversibilité), dans un format exploitable.</w:t>
      </w:r>
    </w:p>
    <w:p>
      <w:pPr>
        <w:numPr>
          <w:ilvl w:val="0"/>
          <w:numId w:val="1015"/>
        </w:numPr>
        <w:pStyle w:val="Compact"/>
      </w:pPr>
      <w:r>
        <w:t xml:space="preserve">Suppression ou restitution des données en fin de contrat selon les instructions du client.</w:t>
      </w:r>
    </w:p>
    <w:bookmarkEnd w:id="81"/>
    <w:bookmarkStart w:id="82" w:name="sla-indicatifs"/>
    <w:p>
      <w:pPr>
        <w:pStyle w:val="Heading2"/>
      </w:pPr>
      <w:r>
        <w:t xml:space="preserve">10.6 SLA indicatifs</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1E2761"/>
            <w:vAlign w:val="center"/>
          </w:tcPr>
          <w:p>
            <w:pPr>
              <w:pStyle w:val="Compact"/>
              <w:jc w:val="left"/>
            </w:pPr>
            <w:r>
              <w:rPr>
                <w:b/>
                <w:color w:val="FFFFFF"/>
              </w:rPr>
              <w:t xml:space="preserve">Indicateur</w:t>
            </w:r>
          </w:p>
        </w:tc>
        <w:tc>
          <w:tcPr>
            <w:shd w:val="clear" w:color="auto" w:fill="1E2761"/>
            <w:vAlign w:val="center"/>
          </w:tcPr>
          <w:p>
            <w:pPr>
              <w:pStyle w:val="Compact"/>
              <w:jc w:val="left"/>
            </w:pPr>
            <w:r>
              <w:rPr>
                <w:b/>
                <w:color w:val="FFFFFF"/>
              </w:rPr>
              <w:t xml:space="preserve">Engagement cible</w:t>
            </w:r>
          </w:p>
        </w:tc>
      </w:tr>
      <w:tr>
        <w:tc>
          <w:tcPr/>
          <w:p>
            <w:pPr>
              <w:pStyle w:val="Compact"/>
              <w:jc w:val="left"/>
            </w:pPr>
            <w:r>
              <w:t xml:space="preserve">Disponibilité mensuelle</w:t>
            </w:r>
          </w:p>
        </w:tc>
        <w:tc>
          <w:tcPr/>
          <w:p>
            <w:pPr>
              <w:pStyle w:val="Compact"/>
              <w:jc w:val="left"/>
            </w:pPr>
            <w:r>
              <w:t xml:space="preserve">≥ 99,5 %</w:t>
            </w:r>
          </w:p>
        </w:tc>
      </w:tr>
      <w:tr>
        <w:tc>
          <w:tcPr/>
          <w:p>
            <w:pPr>
              <w:pStyle w:val="Compact"/>
              <w:jc w:val="left"/>
            </w:pPr>
            <w:r>
              <w:t xml:space="preserve">Prise en charge incident critique</w:t>
            </w:r>
          </w:p>
        </w:tc>
        <w:tc>
          <w:tcPr/>
          <w:p>
            <w:pPr>
              <w:pStyle w:val="Compact"/>
              <w:jc w:val="left"/>
            </w:pPr>
            <w:r>
              <w:t xml:space="preserve">&lt; 2 h</w:t>
            </w:r>
          </w:p>
        </w:tc>
      </w:tr>
      <w:tr>
        <w:tc>
          <w:tcPr/>
          <w:p>
            <w:pPr>
              <w:pStyle w:val="Compact"/>
              <w:jc w:val="left"/>
            </w:pPr>
            <w:r>
              <w:t xml:space="preserve">Résolution incident critique</w:t>
            </w:r>
          </w:p>
        </w:tc>
        <w:tc>
          <w:tcPr/>
          <w:p>
            <w:pPr>
              <w:pStyle w:val="Compact"/>
              <w:jc w:val="left"/>
            </w:pPr>
            <w:r>
              <w:t xml:space="preserve">&lt; 8 h (objectif)</w:t>
            </w:r>
          </w:p>
        </w:tc>
      </w:tr>
      <w:tr>
        <w:tc>
          <w:tcPr/>
          <w:p>
            <w:pPr>
              <w:pStyle w:val="Compact"/>
              <w:jc w:val="left"/>
            </w:pPr>
            <w:r>
              <w:t xml:space="preserve">Fenêtre de maintenance</w:t>
            </w:r>
          </w:p>
        </w:tc>
        <w:tc>
          <w:tcPr/>
          <w:p>
            <w:pPr>
              <w:pStyle w:val="Compact"/>
              <w:jc w:val="left"/>
            </w:pPr>
            <w:r>
              <w:t xml:space="preserve">Planifiée, hors heures ouvrées, annoncée 48 h à l’avance</w:t>
            </w:r>
          </w:p>
        </w:tc>
      </w:tr>
    </w:tbl>
    <w:p>
      <w:r>
        <w:pict>
          <v:rect style="width:0;height:1.5pt" o:hralign="center" o:hrstd="t" o:hr="t"/>
        </w:pict>
      </w:r>
    </w:p>
    <w:bookmarkEnd w:id="82"/>
    <w:bookmarkEnd w:id="83"/>
    <w:bookmarkStart w:id="84" w:name="planning-de-réalisation-indicatif"/>
    <w:p>
      <w:pPr>
        <w:pStyle w:val="Heading1"/>
      </w:pPr>
      <w:r>
        <w:t xml:space="preserve">11. Planning de réalisation (indicatif)</w:t>
      </w:r>
    </w:p>
    <w:p>
      <w:pPr>
        <w:pStyle w:val="FirstParagraph"/>
      </w:pPr>
      <w:r>
        <w:t xml:space="preserve">Le planning s’aligne sur la roadmap du business plan. La V1 vise une livraison commercialisable en 24 à 32 semaines.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Phase</w:t>
            </w:r>
          </w:p>
        </w:tc>
        <w:tc>
          <w:tcPr>
            <w:shd w:val="clear" w:color="auto" w:fill="1E2761"/>
            <w:vAlign w:val="center"/>
          </w:tcPr>
          <w:p>
            <w:pPr>
              <w:pStyle w:val="Compact"/>
              <w:jc w:val="left"/>
            </w:pPr>
            <w:r>
              <w:rPr>
                <w:b/>
                <w:color w:val="FFFFFF"/>
              </w:rPr>
              <w:t xml:space="preserve">Période indicative</w:t>
            </w:r>
          </w:p>
        </w:tc>
        <w:tc>
          <w:tcPr>
            <w:shd w:val="clear" w:color="auto" w:fill="1E2761"/>
            <w:vAlign w:val="center"/>
          </w:tcPr>
          <w:p>
            <w:pPr>
              <w:pStyle w:val="Compact"/>
              <w:jc w:val="left"/>
            </w:pPr>
            <w:r>
              <w:rPr>
                <w:b/>
                <w:color w:val="FFFFFF"/>
              </w:rPr>
              <w:t xml:space="preserve">Livrables</w:t>
            </w:r>
          </w:p>
        </w:tc>
      </w:tr>
      <w:tr>
        <w:tc>
          <w:tcPr/>
          <w:p>
            <w:pPr>
              <w:pStyle w:val="Compact"/>
              <w:jc w:val="left"/>
            </w:pPr>
            <w:r>
              <w:t xml:space="preserve">Cadrage &amp; conception</w:t>
            </w:r>
          </w:p>
        </w:tc>
        <w:tc>
          <w:tcPr/>
          <w:p>
            <w:pPr>
              <w:pStyle w:val="Compact"/>
              <w:jc w:val="left"/>
            </w:pPr>
            <w:r>
              <w:t xml:space="preserve">Semaines 1-4</w:t>
            </w:r>
          </w:p>
        </w:tc>
        <w:tc>
          <w:tcPr/>
          <w:p>
            <w:pPr>
              <w:pStyle w:val="Compact"/>
              <w:jc w:val="left"/>
            </w:pPr>
            <w:r>
              <w:t xml:space="preserve">Spécifications détaillées, maquettes, architecture, choix connecteurs</w:t>
            </w:r>
          </w:p>
        </w:tc>
      </w:tr>
      <w:tr>
        <w:tc>
          <w:tcPr/>
          <w:p>
            <w:pPr>
              <w:pStyle w:val="Compact"/>
              <w:jc w:val="left"/>
            </w:pPr>
            <w:r>
              <w:t xml:space="preserve">Socle technique</w:t>
            </w:r>
          </w:p>
        </w:tc>
        <w:tc>
          <w:tcPr/>
          <w:p>
            <w:pPr>
              <w:pStyle w:val="Compact"/>
              <w:jc w:val="left"/>
            </w:pPr>
            <w:r>
              <w:t xml:space="preserve">Semaines 3-8</w:t>
            </w:r>
          </w:p>
        </w:tc>
        <w:tc>
          <w:tcPr/>
          <w:p>
            <w:pPr>
              <w:pStyle w:val="Compact"/>
              <w:jc w:val="left"/>
            </w:pPr>
            <w:r>
              <w:t xml:space="preserve">Authentification, multi-tenant, modèle de données, sécurité de base</w:t>
            </w:r>
          </w:p>
        </w:tc>
      </w:tr>
      <w:tr>
        <w:tc>
          <w:tcPr/>
          <w:p>
            <w:pPr>
              <w:pStyle w:val="Compact"/>
              <w:jc w:val="left"/>
            </w:pPr>
            <w:r>
              <w:t xml:space="preserve">Modules V1 (lot 1)</w:t>
            </w:r>
          </w:p>
        </w:tc>
        <w:tc>
          <w:tcPr/>
          <w:p>
            <w:pPr>
              <w:pStyle w:val="Compact"/>
              <w:jc w:val="left"/>
            </w:pPr>
            <w:r>
              <w:t xml:space="preserve">Semaines 6-16</w:t>
            </w:r>
          </w:p>
        </w:tc>
        <w:tc>
          <w:tcPr/>
          <w:p>
            <w:pPr>
              <w:pStyle w:val="Compact"/>
              <w:jc w:val="left"/>
            </w:pPr>
            <w:r>
              <w:t xml:space="preserve">Onboarding, coffre-fort, calendrier, OCR</w:t>
            </w:r>
          </w:p>
        </w:tc>
      </w:tr>
      <w:tr>
        <w:tc>
          <w:tcPr/>
          <w:p>
            <w:pPr>
              <w:pStyle w:val="Compact"/>
              <w:jc w:val="left"/>
            </w:pPr>
            <w:r>
              <w:t xml:space="preserve">Modules V1 (lot 2)</w:t>
            </w:r>
          </w:p>
        </w:tc>
        <w:tc>
          <w:tcPr/>
          <w:p>
            <w:pPr>
              <w:pStyle w:val="Compact"/>
              <w:jc w:val="left"/>
            </w:pPr>
            <w:r>
              <w:t xml:space="preserve">Semaines 14-24</w:t>
            </w:r>
          </w:p>
        </w:tc>
        <w:tc>
          <w:tcPr/>
          <w:p>
            <w:pPr>
              <w:pStyle w:val="Compact"/>
              <w:jc w:val="left"/>
            </w:pPr>
            <w:r>
              <w:t xml:space="preserve">Cockpit cash, factures/e-facture, assistant IA, data room, visio</w:t>
            </w:r>
          </w:p>
        </w:tc>
      </w:tr>
      <w:tr>
        <w:tc>
          <w:tcPr/>
          <w:p>
            <w:pPr>
              <w:pStyle w:val="Compact"/>
              <w:jc w:val="left"/>
            </w:pPr>
            <w:r>
              <w:t xml:space="preserve">Recette &amp; pilote</w:t>
            </w:r>
          </w:p>
        </w:tc>
        <w:tc>
          <w:tcPr/>
          <w:p>
            <w:pPr>
              <w:pStyle w:val="Compact"/>
              <w:jc w:val="left"/>
            </w:pPr>
            <w:r>
              <w:t xml:space="preserve">Semaines 22-30</w:t>
            </w:r>
          </w:p>
        </w:tc>
        <w:tc>
          <w:tcPr/>
          <w:p>
            <w:pPr>
              <w:pStyle w:val="Compact"/>
              <w:jc w:val="left"/>
            </w:pPr>
            <w:r>
              <w:t xml:space="preserve">UAT, pentest, corrections, pilote réel</w:t>
            </w:r>
          </w:p>
        </w:tc>
      </w:tr>
      <w:tr>
        <w:tc>
          <w:tcPr/>
          <w:p>
            <w:pPr>
              <w:pStyle w:val="Compact"/>
              <w:jc w:val="left"/>
            </w:pPr>
            <w:r>
              <w:t xml:space="preserve">Mise en production</w:t>
            </w:r>
          </w:p>
        </w:tc>
        <w:tc>
          <w:tcPr/>
          <w:p>
            <w:pPr>
              <w:pStyle w:val="Compact"/>
              <w:jc w:val="left"/>
            </w:pPr>
            <w:r>
              <w:t xml:space="preserve">Semaines 30-32</w:t>
            </w:r>
          </w:p>
        </w:tc>
        <w:tc>
          <w:tcPr/>
          <w:p>
            <w:pPr>
              <w:pStyle w:val="Compact"/>
              <w:jc w:val="left"/>
            </w:pPr>
            <w:r>
              <w:t xml:space="preserve">Go-live V1, monitoring, support</w:t>
            </w:r>
          </w:p>
        </w:tc>
      </w:tr>
    </w:tbl>
    <w:p>
      <w:r>
        <w:pict>
          <v:rect style="width:0;height:1.5pt" o:hralign="center" o:hrstd="t" o:hr="t"/>
        </w:pict>
      </w:r>
    </w:p>
    <w:bookmarkEnd w:id="84"/>
    <w:bookmarkStart w:id="85" w:name="prospectives-v2-à-anticiper-dès-la-v1"/>
    <w:p>
      <w:pPr>
        <w:pStyle w:val="Heading1"/>
      </w:pPr>
      <w:r>
        <w:t xml:space="preserve">12. Prospectives V2 (à anticiper dès la V1)</w:t>
      </w:r>
    </w:p>
    <w:p>
      <w:pPr>
        <w:pStyle w:val="FirstParagraph"/>
      </w:pPr>
      <w:r>
        <w:t xml:space="preserve">L’architecture V1 doit être conçue pour accueillir ces évolutions sans refonte majeure. Elles ne sont pas développées en V1 mais leurs points d’extension doivent être prévus.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color="auto" w:fill="1E2761"/>
            <w:vAlign w:val="center"/>
          </w:tcPr>
          <w:p>
            <w:pPr>
              <w:pStyle w:val="Compact"/>
              <w:jc w:val="left"/>
            </w:pPr>
            <w:r>
              <w:rPr>
                <w:b/>
                <w:color w:val="FFFFFF"/>
              </w:rPr>
              <w:t xml:space="preserve">Domaine</w:t>
            </w:r>
          </w:p>
        </w:tc>
        <w:tc>
          <w:tcPr>
            <w:shd w:val="clear" w:color="auto" w:fill="1E2761"/>
            <w:vAlign w:val="center"/>
          </w:tcPr>
          <w:p>
            <w:pPr>
              <w:pStyle w:val="Compact"/>
              <w:jc w:val="left"/>
            </w:pPr>
            <w:r>
              <w:rPr>
                <w:b/>
                <w:color w:val="FFFFFF"/>
              </w:rPr>
              <w:t xml:space="preserve">Évolution V2</w:t>
            </w:r>
          </w:p>
        </w:tc>
        <w:tc>
          <w:tcPr>
            <w:shd w:val="clear" w:color="auto" w:fill="1E2761"/>
            <w:vAlign w:val="center"/>
          </w:tcPr>
          <w:p>
            <w:pPr>
              <w:pStyle w:val="Compact"/>
              <w:jc w:val="left"/>
            </w:pPr>
            <w:r>
              <w:rPr>
                <w:b/>
                <w:color w:val="FFFFFF"/>
              </w:rPr>
              <w:t xml:space="preserve">Impact à anticiper en V1</w:t>
            </w:r>
          </w:p>
        </w:tc>
      </w:tr>
      <w:tr>
        <w:tc>
          <w:tcPr/>
          <w:p>
            <w:pPr>
              <w:pStyle w:val="Compact"/>
              <w:jc w:val="left"/>
            </w:pPr>
            <w:r>
              <w:t xml:space="preserve">Finance avancée</w:t>
            </w:r>
          </w:p>
        </w:tc>
        <w:tc>
          <w:tcPr/>
          <w:p>
            <w:pPr>
              <w:pStyle w:val="Compact"/>
              <w:jc w:val="left"/>
            </w:pPr>
            <w:r>
              <w:t xml:space="preserve">Budget, reforecast, BFR, analyse de marge par axe</w:t>
            </w:r>
          </w:p>
        </w:tc>
        <w:tc>
          <w:tcPr/>
          <w:p>
            <w:pPr>
              <w:pStyle w:val="Compact"/>
              <w:jc w:val="left"/>
            </w:pPr>
            <w:r>
              <w:t xml:space="preserve">Modèle de données extensible ; séparation calcul/affichage</w:t>
            </w:r>
          </w:p>
        </w:tc>
      </w:tr>
      <w:tr>
        <w:tc>
          <w:tcPr/>
          <w:p>
            <w:pPr>
              <w:pStyle w:val="Compact"/>
              <w:jc w:val="left"/>
            </w:pPr>
            <w:r>
              <w:t xml:space="preserve">Comptabilité</w:t>
            </w:r>
          </w:p>
        </w:tc>
        <w:tc>
          <w:tcPr/>
          <w:p>
            <w:pPr>
              <w:pStyle w:val="Compact"/>
              <w:jc w:val="left"/>
            </w:pPr>
            <w:r>
              <w:t xml:space="preserve">Pré-clôture, dossier EC enrichi, réconciliation avancée</w:t>
            </w:r>
          </w:p>
        </w:tc>
        <w:tc>
          <w:tcPr/>
          <w:p>
            <w:pPr>
              <w:pStyle w:val="Compact"/>
              <w:jc w:val="left"/>
            </w:pPr>
            <w:r>
              <w:t xml:space="preserve">API d’export structuré prévue dès la V1</w:t>
            </w:r>
          </w:p>
        </w:tc>
      </w:tr>
      <w:tr>
        <w:tc>
          <w:tcPr/>
          <w:p>
            <w:pPr>
              <w:pStyle w:val="Compact"/>
              <w:jc w:val="left"/>
            </w:pPr>
            <w:r>
              <w:t xml:space="preserve">Paie &amp; social</w:t>
            </w:r>
          </w:p>
        </w:tc>
        <w:tc>
          <w:tcPr/>
          <w:p>
            <w:pPr>
              <w:pStyle w:val="Compact"/>
              <w:jc w:val="left"/>
            </w:pPr>
            <w:r>
              <w:t xml:space="preserve">Pré-contrôle paie et DSN via connecteur</w:t>
            </w:r>
          </w:p>
        </w:tc>
        <w:tc>
          <w:tcPr/>
          <w:p>
            <w:pPr>
              <w:pStyle w:val="Compact"/>
              <w:jc w:val="left"/>
            </w:pPr>
            <w:r>
              <w:t xml:space="preserve">Connecteur paie en lecture prévu, sans moteur DSN</w:t>
            </w:r>
          </w:p>
        </w:tc>
      </w:tr>
      <w:tr>
        <w:tc>
          <w:tcPr/>
          <w:p>
            <w:pPr>
              <w:pStyle w:val="Compact"/>
              <w:jc w:val="left"/>
            </w:pPr>
            <w:r>
              <w:t xml:space="preserve">Juridique</w:t>
            </w:r>
          </w:p>
        </w:tc>
        <w:tc>
          <w:tcPr/>
          <w:p>
            <w:pPr>
              <w:pStyle w:val="Compact"/>
              <w:jc w:val="left"/>
            </w:pPr>
            <w:r>
              <w:t xml:space="preserve">Analyse de contrats avancée, playbooks, registre de gouvernance</w:t>
            </w:r>
          </w:p>
        </w:tc>
        <w:tc>
          <w:tcPr/>
          <w:p>
            <w:pPr>
              <w:pStyle w:val="Compact"/>
              <w:jc w:val="left"/>
            </w:pPr>
            <w:r>
              <w:t xml:space="preserve">Modèle documentaire compatible ; extraction de clauses évolutive</w:t>
            </w:r>
          </w:p>
        </w:tc>
      </w:tr>
      <w:tr>
        <w:tc>
          <w:tcPr/>
          <w:p>
            <w:pPr>
              <w:pStyle w:val="Compact"/>
              <w:jc w:val="left"/>
            </w:pPr>
            <w:r>
              <w:t xml:space="preserve">Multi-entités</w:t>
            </w:r>
          </w:p>
        </w:tc>
        <w:tc>
          <w:tcPr/>
          <w:p>
            <w:pPr>
              <w:pStyle w:val="Compact"/>
              <w:jc w:val="left"/>
            </w:pPr>
            <w:r>
              <w:t xml:space="preserve">Consolidation connectée, gestion de groupe</w:t>
            </w:r>
          </w:p>
        </w:tc>
        <w:tc>
          <w:tcPr/>
          <w:p>
            <w:pPr>
              <w:pStyle w:val="Compact"/>
              <w:jc w:val="left"/>
            </w:pPr>
            <w:r>
              <w:t xml:space="preserve">Isolation multi-tenant conçue pour agréger plusieurs entités</w:t>
            </w:r>
          </w:p>
        </w:tc>
      </w:tr>
      <w:tr>
        <w:tc>
          <w:tcPr/>
          <w:p>
            <w:pPr>
              <w:pStyle w:val="Compact"/>
              <w:jc w:val="left"/>
            </w:pPr>
            <w:r>
              <w:t xml:space="preserve">Entreprise</w:t>
            </w:r>
          </w:p>
        </w:tc>
        <w:tc>
          <w:tcPr/>
          <w:p>
            <w:pPr>
              <w:pStyle w:val="Compact"/>
              <w:jc w:val="left"/>
            </w:pPr>
            <w:r>
              <w:t xml:space="preserve">SSO, API publique, intégrations ERP, droits fins</w:t>
            </w:r>
          </w:p>
        </w:tc>
        <w:tc>
          <w:tcPr/>
          <w:p>
            <w:pPr>
              <w:pStyle w:val="Compact"/>
              <w:jc w:val="left"/>
            </w:pPr>
            <w:r>
              <w:t xml:space="preserve">API-first dès la V1 ; modèle de droits granulaire extensible</w:t>
            </w:r>
          </w:p>
        </w:tc>
      </w:tr>
      <w:tr>
        <w:tc>
          <w:tcPr/>
          <w:p>
            <w:pPr>
              <w:pStyle w:val="Compact"/>
              <w:jc w:val="left"/>
            </w:pPr>
            <w:r>
              <w:t xml:space="preserve">Verticales</w:t>
            </w:r>
          </w:p>
        </w:tc>
        <w:tc>
          <w:tcPr/>
          <w:p>
            <w:pPr>
              <w:pStyle w:val="Compact"/>
              <w:jc w:val="left"/>
            </w:pPr>
            <w:r>
              <w:t xml:space="preserve">Packs sectoriels (BTP, services, commerce)</w:t>
            </w:r>
          </w:p>
        </w:tc>
        <w:tc>
          <w:tcPr/>
          <w:p>
            <w:pPr>
              <w:pStyle w:val="Compact"/>
              <w:jc w:val="left"/>
            </w:pPr>
            <w:r>
              <w:t xml:space="preserve">Moteur de règles paramétrable par secteur</w:t>
            </w:r>
          </w:p>
        </w:tc>
      </w:tr>
    </w:tbl>
    <w:p>
      <w:pPr>
        <w:pStyle w:val="BodyText"/>
      </w:pPr>
      <w:r>
        <w:rPr>
          <w:bCs/>
          <w:b/>
        </w:rPr>
        <w:t xml:space="preserve">Principe de séquençage :</w:t>
      </w:r>
      <w:r>
        <w:t xml:space="preserve"> </w:t>
      </w:r>
      <w:r>
        <w:t xml:space="preserve">la paie complète, les secteurs santé et les enjeux multi-pays restent hors périmètre tant que la gouvernance produit et juridique n’est pas mature. On construit par briques fiables plutôt que par une V1 trop large.</w:t>
      </w:r>
    </w:p>
    <w:p>
      <w:r>
        <w:pict>
          <v:rect style="width:0;height:1.5pt" o:hralign="center" o:hrstd="t" o:hr="t"/>
        </w:pict>
      </w:r>
    </w:p>
    <w:bookmarkEnd w:id="85"/>
    <w:bookmarkStart w:id="86" w:name="X1057fb4ce28bcca99d1906da99449e29bacfda7"/>
    <w:p>
      <w:pPr>
        <w:pStyle w:val="Heading1"/>
      </w:pPr>
      <w:r>
        <w:t xml:space="preserve">13. Contraintes réglementaires structurantes pour le développeur</w:t>
      </w:r>
    </w:p>
    <w:p>
      <w:pPr>
        <w:pStyle w:val="FirstParagraph"/>
      </w:pPr>
      <w:r>
        <w:t xml:space="preserve">Ces contraintes ne sont pas des options : elles conditionnent l’architecture et les fonctionnalités.</w:t>
      </w:r>
    </w:p>
    <w:p>
      <w:pPr>
        <w:numPr>
          <w:ilvl w:val="0"/>
          <w:numId w:val="1016"/>
        </w:numPr>
        <w:pStyle w:val="Compact"/>
      </w:pPr>
      <w:r>
        <w:rPr>
          <w:bCs/>
          <w:b/>
        </w:rPr>
        <w:t xml:space="preserve">Pas d’exercice illégal d’une profession réglementée.</w:t>
      </w:r>
      <w:r>
        <w:t xml:space="preserve"> </w:t>
      </w:r>
      <w:r>
        <w:t xml:space="preserve">La plateforme prépare et assiste ; elle ne produit pas de comptabilité pour autrui, de déclaration officielle, de conseil juridique individualisé ou de certification de manière autonome. Toute fonctionnalité approchant ces limites doit intégrer une validation humaine par un professionnel habilité.</w:t>
      </w:r>
    </w:p>
    <w:p>
      <w:pPr>
        <w:numPr>
          <w:ilvl w:val="0"/>
          <w:numId w:val="1016"/>
        </w:numPr>
        <w:pStyle w:val="Compact"/>
      </w:pPr>
      <w:r>
        <w:rPr>
          <w:bCs/>
          <w:b/>
        </w:rPr>
        <w:t xml:space="preserve">Télétransmission encadrée.</w:t>
      </w:r>
      <w:r>
        <w:t xml:space="preserve"> </w:t>
      </w:r>
      <w:r>
        <w:t xml:space="preserve">La transmission fiscale (EDI) et l’émission de factures électroniques passent par des partenaires agréés ou le compte habilité de l’entreprise, jamais par un contournement.</w:t>
      </w:r>
    </w:p>
    <w:p>
      <w:pPr>
        <w:numPr>
          <w:ilvl w:val="0"/>
          <w:numId w:val="1016"/>
        </w:numPr>
        <w:pStyle w:val="Compact"/>
      </w:pPr>
      <w:r>
        <w:rPr>
          <w:bCs/>
          <w:b/>
        </w:rPr>
        <w:t xml:space="preserve">Protection des données.</w:t>
      </w:r>
      <w:r>
        <w:t xml:space="preserve"> </w:t>
      </w:r>
      <w:r>
        <w:t xml:space="preserve">Conformité RGPD stricte, hébergement UE, sécurité démontrable, en particulier sur les données de paie et les contrats.</w:t>
      </w:r>
    </w:p>
    <w:p>
      <w:pPr>
        <w:numPr>
          <w:ilvl w:val="0"/>
          <w:numId w:val="1016"/>
        </w:numPr>
        <w:pStyle w:val="Compact"/>
      </w:pPr>
      <w:r>
        <w:rPr>
          <w:bCs/>
          <w:b/>
        </w:rPr>
        <w:t xml:space="preserve">IA responsable.</w:t>
      </w:r>
      <w:r>
        <w:t xml:space="preserve"> </w:t>
      </w:r>
      <w:r>
        <w:t xml:space="preserve">Information de l’utilisateur, pas d’entraînement implicite sur les données clients, sources datées, gouvernance de risque documentée.</w:t>
      </w:r>
    </w:p>
    <w:p>
      <w:pPr>
        <w:numPr>
          <w:ilvl w:val="0"/>
          <w:numId w:val="1016"/>
        </w:numPr>
        <w:pStyle w:val="Compact"/>
      </w:pPr>
      <w:r>
        <w:rPr>
          <w:bCs/>
          <w:b/>
        </w:rPr>
        <w:t xml:space="preserve">Pas de commission sur honoraires réglementés.</w:t>
      </w:r>
      <w:r>
        <w:t xml:space="preserve"> </w:t>
      </w:r>
      <w:r>
        <w:t xml:space="preserve">Le modèle économique interdit toute commission proportionnelle sur les honoraires d’avocats, d’experts-comptables ou de commissaires aux comptes ; l’implémentation de la facturation doit refléter cette séparation (abonnement fixe + forfait service distinct).</w:t>
      </w:r>
    </w:p>
    <w:p>
      <w:r>
        <w:pict>
          <v:rect style="width:0;height:1.5pt" o:hralign="center" o:hrstd="t" o:hr="t"/>
        </w:pict>
      </w:r>
    </w:p>
    <w:bookmarkEnd w:id="86"/>
    <w:bookmarkStart w:id="89" w:name="annexes"/>
    <w:p>
      <w:pPr>
        <w:pStyle w:val="Heading1"/>
      </w:pPr>
      <w:r>
        <w:t xml:space="preserve">14. Annexes</w:t>
      </w:r>
    </w:p>
    <w:bookmarkStart w:id="87" w:name="glossaire"/>
    <w:p>
      <w:pPr>
        <w:pStyle w:val="Heading2"/>
      </w:pPr>
      <w:r>
        <w:t xml:space="preserve">14.1 Glossaire</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color="auto" w:fill="1E2761"/>
            <w:vAlign w:val="center"/>
          </w:tcPr>
          <w:p>
            <w:pPr>
              <w:pStyle w:val="Compact"/>
              <w:jc w:val="left"/>
            </w:pPr>
            <w:r>
              <w:rPr>
                <w:b/>
                <w:color w:val="FFFFFF"/>
              </w:rPr>
              <w:t xml:space="preserve">Terme</w:t>
            </w:r>
          </w:p>
        </w:tc>
        <w:tc>
          <w:tcPr>
            <w:shd w:val="clear" w:color="auto" w:fill="1E2761"/>
            <w:vAlign w:val="center"/>
          </w:tcPr>
          <w:p>
            <w:pPr>
              <w:pStyle w:val="Compact"/>
              <w:jc w:val="left"/>
            </w:pPr>
            <w:r>
              <w:rPr>
                <w:b/>
                <w:color w:val="FFFFFF"/>
              </w:rPr>
              <w:t xml:space="preserve">Définition</w:t>
            </w:r>
          </w:p>
        </w:tc>
      </w:tr>
      <w:tr>
        <w:tc>
          <w:tcPr/>
          <w:p>
            <w:pPr>
              <w:pStyle w:val="Compact"/>
              <w:jc w:val="left"/>
            </w:pPr>
            <w:r>
              <w:t xml:space="preserve">ABAC</w:t>
            </w:r>
          </w:p>
        </w:tc>
        <w:tc>
          <w:tcPr/>
          <w:p>
            <w:pPr>
              <w:pStyle w:val="Compact"/>
              <w:jc w:val="left"/>
            </w:pPr>
            <w:r>
              <w:t xml:space="preserve">Attribute-Based Access Control — contrôle d’accès par attribut</w:t>
            </w:r>
          </w:p>
        </w:tc>
      </w:tr>
      <w:tr>
        <w:tc>
          <w:tcPr/>
          <w:p>
            <w:pPr>
              <w:pStyle w:val="Compact"/>
              <w:jc w:val="left"/>
            </w:pPr>
            <w:r>
              <w:t xml:space="preserve">AIPD</w:t>
            </w:r>
          </w:p>
        </w:tc>
        <w:tc>
          <w:tcPr/>
          <w:p>
            <w:pPr>
              <w:pStyle w:val="Compact"/>
              <w:jc w:val="left"/>
            </w:pPr>
            <w:r>
              <w:t xml:space="preserve">Analyse d’impact relative à la protection des données</w:t>
            </w:r>
          </w:p>
        </w:tc>
      </w:tr>
      <w:tr>
        <w:tc>
          <w:tcPr/>
          <w:p>
            <w:pPr>
              <w:pStyle w:val="Compact"/>
              <w:jc w:val="left"/>
            </w:pPr>
            <w:r>
              <w:t xml:space="preserve">BFR</w:t>
            </w:r>
          </w:p>
        </w:tc>
        <w:tc>
          <w:tcPr/>
          <w:p>
            <w:pPr>
              <w:pStyle w:val="Compact"/>
              <w:jc w:val="left"/>
            </w:pPr>
            <w:r>
              <w:t xml:space="preserve">Besoin en fonds de roulement</w:t>
            </w:r>
          </w:p>
        </w:tc>
      </w:tr>
      <w:tr>
        <w:tc>
          <w:tcPr/>
          <w:p>
            <w:pPr>
              <w:pStyle w:val="Compact"/>
              <w:jc w:val="left"/>
            </w:pPr>
            <w:r>
              <w:t xml:space="preserve">CA</w:t>
            </w:r>
          </w:p>
        </w:tc>
        <w:tc>
          <w:tcPr/>
          <w:p>
            <w:pPr>
              <w:pStyle w:val="Compact"/>
              <w:jc w:val="left"/>
            </w:pPr>
            <w:r>
              <w:t xml:space="preserve">Critère d’acceptation</w:t>
            </w:r>
          </w:p>
        </w:tc>
      </w:tr>
      <w:tr>
        <w:tc>
          <w:tcPr/>
          <w:p>
            <w:pPr>
              <w:pStyle w:val="Compact"/>
              <w:jc w:val="left"/>
            </w:pPr>
            <w:r>
              <w:t xml:space="preserve">DPA</w:t>
            </w:r>
          </w:p>
        </w:tc>
        <w:tc>
          <w:tcPr/>
          <w:p>
            <w:pPr>
              <w:pStyle w:val="Compact"/>
              <w:jc w:val="left"/>
            </w:pPr>
            <w:r>
              <w:t xml:space="preserve">Data Processing Agreement — accord de sous-traitance RGPD</w:t>
            </w:r>
          </w:p>
        </w:tc>
      </w:tr>
      <w:tr>
        <w:tc>
          <w:tcPr/>
          <w:p>
            <w:pPr>
              <w:pStyle w:val="Compact"/>
              <w:jc w:val="left"/>
            </w:pPr>
            <w:r>
              <w:t xml:space="preserve">DSN</w:t>
            </w:r>
          </w:p>
        </w:tc>
        <w:tc>
          <w:tcPr/>
          <w:p>
            <w:pPr>
              <w:pStyle w:val="Compact"/>
              <w:jc w:val="left"/>
            </w:pPr>
            <w:r>
              <w:t xml:space="preserve">Déclaration Sociale Nominative</w:t>
            </w:r>
          </w:p>
        </w:tc>
      </w:tr>
      <w:tr>
        <w:tc>
          <w:tcPr/>
          <w:p>
            <w:pPr>
              <w:pStyle w:val="Compact"/>
              <w:jc w:val="left"/>
            </w:pPr>
            <w:r>
              <w:t xml:space="preserve">EDI</w:t>
            </w:r>
          </w:p>
        </w:tc>
        <w:tc>
          <w:tcPr/>
          <w:p>
            <w:pPr>
              <w:pStyle w:val="Compact"/>
              <w:jc w:val="left"/>
            </w:pPr>
            <w:r>
              <w:t xml:space="preserve">Échange de Données Informatisé</w:t>
            </w:r>
          </w:p>
        </w:tc>
      </w:tr>
      <w:tr>
        <w:tc>
          <w:tcPr/>
          <w:p>
            <w:pPr>
              <w:pStyle w:val="Compact"/>
              <w:jc w:val="left"/>
            </w:pPr>
            <w:r>
              <w:t xml:space="preserve">MOA / MOE</w:t>
            </w:r>
          </w:p>
        </w:tc>
        <w:tc>
          <w:tcPr/>
          <w:p>
            <w:pPr>
              <w:pStyle w:val="Compact"/>
              <w:jc w:val="left"/>
            </w:pPr>
            <w:r>
              <w:t xml:space="preserve">Maîtrise d’ouvrage / Maîtrise d’œuvre</w:t>
            </w:r>
          </w:p>
        </w:tc>
      </w:tr>
      <w:tr>
        <w:tc>
          <w:tcPr/>
          <w:p>
            <w:pPr>
              <w:pStyle w:val="Compact"/>
              <w:jc w:val="left"/>
            </w:pPr>
            <w:r>
              <w:t xml:space="preserve">OCR</w:t>
            </w:r>
          </w:p>
        </w:tc>
        <w:tc>
          <w:tcPr/>
          <w:p>
            <w:pPr>
              <w:pStyle w:val="Compact"/>
              <w:jc w:val="left"/>
            </w:pPr>
            <w:r>
              <w:t xml:space="preserve">Reconnaissance optique de caractères</w:t>
            </w:r>
          </w:p>
        </w:tc>
      </w:tr>
      <w:tr>
        <w:tc>
          <w:tcPr/>
          <w:p>
            <w:pPr>
              <w:pStyle w:val="Compact"/>
              <w:jc w:val="left"/>
            </w:pPr>
            <w:r>
              <w:t xml:space="preserve">PDP</w:t>
            </w:r>
          </w:p>
        </w:tc>
        <w:tc>
          <w:tcPr/>
          <w:p>
            <w:pPr>
              <w:pStyle w:val="Compact"/>
              <w:jc w:val="left"/>
            </w:pPr>
            <w:r>
              <w:t xml:space="preserve">Plateforme de Dématérialisation Partenaire (facturation électronique)</w:t>
            </w:r>
          </w:p>
        </w:tc>
      </w:tr>
      <w:tr>
        <w:tc>
          <w:tcPr/>
          <w:p>
            <w:pPr>
              <w:pStyle w:val="Compact"/>
              <w:jc w:val="left"/>
            </w:pPr>
            <w:r>
              <w:t xml:space="preserve">PWA</w:t>
            </w:r>
          </w:p>
        </w:tc>
        <w:tc>
          <w:tcPr/>
          <w:p>
            <w:pPr>
              <w:pStyle w:val="Compact"/>
              <w:jc w:val="left"/>
            </w:pPr>
            <w:r>
              <w:t xml:space="preserve">Progressive Web App</w:t>
            </w:r>
          </w:p>
        </w:tc>
      </w:tr>
      <w:tr>
        <w:tc>
          <w:tcPr/>
          <w:p>
            <w:pPr>
              <w:pStyle w:val="Compact"/>
              <w:jc w:val="left"/>
            </w:pPr>
            <w:r>
              <w:t xml:space="preserve">RAG</w:t>
            </w:r>
          </w:p>
        </w:tc>
        <w:tc>
          <w:tcPr/>
          <w:p>
            <w:pPr>
              <w:pStyle w:val="Compact"/>
              <w:jc w:val="left"/>
            </w:pPr>
            <w:r>
              <w:t xml:space="preserve">Retrieval-Augmented Generation (IA sourcée)</w:t>
            </w:r>
          </w:p>
        </w:tc>
      </w:tr>
      <w:tr>
        <w:tc>
          <w:tcPr/>
          <w:p>
            <w:pPr>
              <w:pStyle w:val="Compact"/>
              <w:jc w:val="left"/>
            </w:pPr>
            <w:r>
              <w:t xml:space="preserve">RBAC</w:t>
            </w:r>
          </w:p>
        </w:tc>
        <w:tc>
          <w:tcPr/>
          <w:p>
            <w:pPr>
              <w:pStyle w:val="Compact"/>
              <w:jc w:val="left"/>
            </w:pPr>
            <w:r>
              <w:t xml:space="preserve">Role-Based Access Control — contrôle d’accès par rôle</w:t>
            </w:r>
          </w:p>
        </w:tc>
      </w:tr>
      <w:tr>
        <w:tc>
          <w:tcPr/>
          <w:p>
            <w:pPr>
              <w:pStyle w:val="Compact"/>
              <w:jc w:val="left"/>
            </w:pPr>
            <w:r>
              <w:t xml:space="preserve">RPO / RTO</w:t>
            </w:r>
          </w:p>
        </w:tc>
        <w:tc>
          <w:tcPr/>
          <w:p>
            <w:pPr>
              <w:pStyle w:val="Compact"/>
              <w:jc w:val="left"/>
            </w:pPr>
            <w:r>
              <w:t xml:space="preserve">Objectifs de perte / de reprise de données en cas d’incident</w:t>
            </w:r>
          </w:p>
        </w:tc>
      </w:tr>
      <w:tr>
        <w:tc>
          <w:tcPr/>
          <w:p>
            <w:pPr>
              <w:pStyle w:val="Compact"/>
              <w:jc w:val="left"/>
            </w:pPr>
            <w:r>
              <w:t xml:space="preserve">UAT</w:t>
            </w:r>
          </w:p>
        </w:tc>
        <w:tc>
          <w:tcPr/>
          <w:p>
            <w:pPr>
              <w:pStyle w:val="Compact"/>
              <w:jc w:val="left"/>
            </w:pPr>
            <w:r>
              <w:t xml:space="preserve">User Acceptance Testing — recette utilisateur</w:t>
            </w:r>
          </w:p>
        </w:tc>
      </w:tr>
      <w:tr>
        <w:tc>
          <w:tcPr/>
          <w:p>
            <w:pPr>
              <w:pStyle w:val="Compact"/>
              <w:jc w:val="left"/>
            </w:pPr>
            <w:r>
              <w:t xml:space="preserve">US</w:t>
            </w:r>
          </w:p>
        </w:tc>
        <w:tc>
          <w:tcPr/>
          <w:p>
            <w:pPr>
              <w:pStyle w:val="Compact"/>
              <w:jc w:val="left"/>
            </w:pPr>
            <w:r>
              <w:t xml:space="preserve">User Story</w:t>
            </w:r>
          </w:p>
        </w:tc>
      </w:tr>
    </w:tbl>
    <w:bookmarkEnd w:id="87"/>
    <w:bookmarkStart w:id="88" w:name="X368cb9542c55c4bc36b7f624d106e17ed3b4760"/>
    <w:p>
      <w:pPr>
        <w:pStyle w:val="Heading2"/>
      </w:pPr>
      <w:r>
        <w:t xml:space="preserve">14.2 Récapitulatif de la palette (référence rapide)</w:t>
      </w:r>
    </w:p>
    <w:p>
      <w:pPr>
        <w:pStyle w:val="FirstParagraph"/>
      </w:pPr>
      <w:r>
        <w:t xml:space="preserve">Dominante</w:t>
      </w:r>
      <w:r>
        <w:t xml:space="preserve"> </w:t>
      </w:r>
      <w:r>
        <w:rPr>
          <w:rStyle w:val="VerbatimChar"/>
        </w:rPr>
        <w:t xml:space="preserve">#1E2761</w:t>
      </w:r>
      <w:r>
        <w:t xml:space="preserve"> </w:t>
      </w:r>
      <w:r>
        <w:t xml:space="preserve">· Dominante claire</w:t>
      </w:r>
      <w:r>
        <w:t xml:space="preserve"> </w:t>
      </w:r>
      <w:r>
        <w:rPr>
          <w:rStyle w:val="VerbatimChar"/>
        </w:rPr>
        <w:t xml:space="preserve">#2C3A7A</w:t>
      </w:r>
      <w:r>
        <w:t xml:space="preserve"> </w:t>
      </w:r>
      <w:r>
        <w:t xml:space="preserve">· Secondaire</w:t>
      </w:r>
      <w:r>
        <w:t xml:space="preserve"> </w:t>
      </w:r>
      <w:r>
        <w:rPr>
          <w:rStyle w:val="VerbatimChar"/>
        </w:rPr>
        <w:t xml:space="preserve">#CADCFC</w:t>
      </w:r>
      <w:r>
        <w:t xml:space="preserve"> </w:t>
      </w:r>
      <w:r>
        <w:t xml:space="preserve">· Accent</w:t>
      </w:r>
      <w:r>
        <w:t xml:space="preserve"> </w:t>
      </w:r>
      <w:r>
        <w:rPr>
          <w:rStyle w:val="VerbatimChar"/>
        </w:rPr>
        <w:t xml:space="preserve">#E4B95B</w:t>
      </w:r>
      <w:r>
        <w:t xml:space="preserve"> </w:t>
      </w:r>
      <w:r>
        <w:t xml:space="preserve">· Succès</w:t>
      </w:r>
      <w:r>
        <w:t xml:space="preserve"> </w:t>
      </w:r>
      <w:r>
        <w:rPr>
          <w:rStyle w:val="VerbatimChar"/>
        </w:rPr>
        <w:t xml:space="preserve">#2FA37C</w:t>
      </w:r>
      <w:r>
        <w:t xml:space="preserve"> </w:t>
      </w:r>
      <w:r>
        <w:t xml:space="preserve">· Alerte</w:t>
      </w:r>
      <w:r>
        <w:t xml:space="preserve"> </w:t>
      </w:r>
      <w:r>
        <w:rPr>
          <w:rStyle w:val="VerbatimChar"/>
        </w:rPr>
        <w:t xml:space="preserve">#C0503F</w:t>
      </w:r>
      <w:r>
        <w:t xml:space="preserve"> </w:t>
      </w:r>
      <w:r>
        <w:t xml:space="preserve">· Texte</w:t>
      </w:r>
      <w:r>
        <w:t xml:space="preserve"> </w:t>
      </w:r>
      <w:r>
        <w:rPr>
          <w:rStyle w:val="VerbatimChar"/>
        </w:rPr>
        <w:t xml:space="preserve">#1A2238</w:t>
      </w:r>
      <w:r>
        <w:t xml:space="preserve"> </w:t>
      </w:r>
      <w:r>
        <w:t xml:space="preserve">· Texte muté</w:t>
      </w:r>
      <w:r>
        <w:t xml:space="preserve"> </w:t>
      </w:r>
      <w:r>
        <w:rPr>
          <w:rStyle w:val="VerbatimChar"/>
        </w:rPr>
        <w:t xml:space="preserve">#5B6480</w:t>
      </w:r>
      <w:r>
        <w:t xml:space="preserve"> </w:t>
      </w:r>
      <w:r>
        <w:t xml:space="preserve">· Fond</w:t>
      </w:r>
      <w:r>
        <w:t xml:space="preserve"> </w:t>
      </w:r>
      <w:r>
        <w:rPr>
          <w:rStyle w:val="VerbatimChar"/>
        </w:rPr>
        <w:t xml:space="preserve">#FFFFFF</w:t>
      </w:r>
      <w:r>
        <w:t xml:space="preserve"> </w:t>
      </w:r>
      <w:r>
        <w:t xml:space="preserve">· Carte</w:t>
      </w:r>
      <w:r>
        <w:t xml:space="preserve"> </w:t>
      </w:r>
      <w:r>
        <w:rPr>
          <w:rStyle w:val="VerbatimChar"/>
        </w:rPr>
        <w:t xml:space="preserve">#F4F7FC</w:t>
      </w:r>
      <w:r>
        <w:t xml:space="preserve"> </w:t>
      </w:r>
      <w:r>
        <w:t xml:space="preserve">· Bordure</w:t>
      </w:r>
      <w:r>
        <w:t xml:space="preserve"> </w:t>
      </w:r>
      <w:r>
        <w:rPr>
          <w:rStyle w:val="VerbatimChar"/>
        </w:rPr>
        <w:t xml:space="preserve">#DCE4F2</w:t>
      </w:r>
    </w:p>
    <w:p>
      <w:r>
        <w:pict>
          <v:rect style="width:0;height:1.5pt" o:hralign="center" o:hrstd="t" o:hr="t"/>
        </w:pict>
      </w:r>
    </w:p>
    <w:p>
      <w:pPr>
        <w:pStyle w:val="FirstParagraph"/>
      </w:pPr>
      <w:r>
        <w:rPr>
          <w:iCs/>
          <w:i/>
        </w:rPr>
        <w:t xml:space="preserve">Document confidentiel — Projet DAF 360 — Cahier des charges opérationnel V1 — Juillet 2026</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E2761"/>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E2761"/>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E2761"/>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E2761"/>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E2761"/>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E2761"/>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1E2761"/>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1E2761"/>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1E2761"/>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1E2761"/>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1E2761"/>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val="single" w:sz="4" w:space="0" w:color="DCE4F2"/>
        <w:left w:val="single" w:sz="4" w:space="0" w:color="DCE4F2"/>
        <w:bottom w:val="single" w:sz="4" w:space="0" w:color="DCE4F2"/>
        <w:right w:val="single" w:sz="4" w:space="0" w:color="DCE4F2"/>
        <w:insideH w:val="single" w:sz="4" w:space="0" w:color="DCE4F2"/>
        <w:insideV w:val="single" w:sz="4" w:space="0" w:color="DCE4F2"/>
      </w:tblBorders>
      <w:tblCellMar>
        <w:top w:type="dxa" w:w="60"/>
        <w:left w:type="dxa" w:w="108"/>
        <w:bottom w:type="dxa" w:w="6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E2761"/>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2026-07-08T12:59:58Z</dcterms:created>
  <dcterms:modified xsi:type="dcterms:W3CDTF">2026-07-08T12:59:58Z</dcterms:modified>
</cp:coreProperties>
</file>

<file path=docProps/custom.xml><?xml version="1.0" encoding="utf-8"?>
<Properties xmlns="http://schemas.openxmlformats.org/officeDocument/2006/custom-properties" xmlns:vt="http://schemas.openxmlformats.org/officeDocument/2006/docPropsVTypes"/>
</file>