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100A" w14:textId="77777777" w:rsidR="004C33AD" w:rsidRPr="004C33AD" w:rsidRDefault="004C33AD" w:rsidP="004C33AD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4C33AD">
        <w:rPr>
          <w:rFonts w:ascii="Segoe UI" w:eastAsia="宋体" w:hAnsi="Segoe UI" w:cs="Segoe UI"/>
          <w:color w:val="000000" w:themeColor="text1"/>
          <w:kern w:val="0"/>
          <w:szCs w:val="21"/>
        </w:rPr>
        <w:t>Based on the Omninet AI project (public Internet kiosks with payment, AI assistant, content filtering, and cloud backend), here are </w:t>
      </w:r>
      <w:r w:rsidRPr="004C33AD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four key testing risks</w:t>
      </w:r>
      <w:r w:rsidRPr="004C33AD">
        <w:rPr>
          <w:rFonts w:ascii="Segoe UI" w:eastAsia="宋体" w:hAnsi="Segoe UI" w:cs="Segoe UI"/>
          <w:color w:val="000000" w:themeColor="text1"/>
          <w:kern w:val="0"/>
          <w:szCs w:val="21"/>
        </w:rPr>
        <w:t> with assessments and recommended management steps.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"/>
        <w:gridCol w:w="3892"/>
        <w:gridCol w:w="2341"/>
        <w:gridCol w:w="2819"/>
        <w:gridCol w:w="4547"/>
      </w:tblGrid>
      <w:tr w:rsidR="004C33AD" w:rsidRPr="004C33AD" w14:paraId="5DDDCA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C323E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02980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Project 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4D716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Likelihood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C3AB0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447A7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Response Steps (from the four options)</w:t>
            </w:r>
          </w:p>
        </w:tc>
      </w:tr>
      <w:tr w:rsidR="004C33AD" w:rsidRPr="004C33AD" w14:paraId="041E33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E3736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8D334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Payment gateway integration failures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 (e.g., authorization timeout exceeding MRD 3.1.2’s 20s limit, no retry/cancel UI)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B61C1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Medium (occurs under high load or flaky network)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230A8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High (revenue loss, poor user experience)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18D81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Careful planning &amp; good bug triage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 – design negative test cases for timeouts and retry logic. + </w:t>
            </w: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Strict change control processes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 – require impact analysis for any payment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>related code changes.</w:t>
            </w:r>
          </w:p>
        </w:tc>
      </w:tr>
      <w:tr w:rsidR="004C33AD" w:rsidRPr="004C33AD" w14:paraId="723BBD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F6FF2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66332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 xml:space="preserve">Performance degradation under </w:t>
            </w:r>
            <w:proofErr w:type="gramStart"/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scale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(</w:t>
            </w:r>
            <w:proofErr w:type="gramEnd"/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cloud backend unable to handle 10,000 concurrent kiosks, AI assistant response &gt;2s)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82532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Medium (scale target is ambitious)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7B332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High (service unavailability, SLA breach)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282AC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Outsource performance testing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 – use cloud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>based load testing services to simulate 10k+ kiosks. + </w:t>
            </w: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Risk priority to drop tests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 xml:space="preserve"> – if schedule slips, </w:t>
            </w:r>
            <w:proofErr w:type="spellStart"/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prioritise</w:t>
            </w:r>
            <w:proofErr w:type="spellEnd"/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 xml:space="preserve"> performance tests for the highest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>risk scenarios (e.g., peak hour payment + AI query).</w:t>
            </w:r>
          </w:p>
        </w:tc>
      </w:tr>
      <w:tr w:rsidR="004C33AD" w:rsidRPr="004C33AD" w14:paraId="75E5F6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0C59D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9FF36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Insufficient test environments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 xml:space="preserve"> (e.g., not 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enough kiosk hardware variants or network conditions to validate all locations)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0991A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 xml:space="preserve">High (many kiosk types, 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real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>world network variability)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E5629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Medium (some edge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 xml:space="preserve">case bugs may 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reach production but not catastrophic)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C22F6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lastRenderedPageBreak/>
              <w:t>Outsource performance testing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 xml:space="preserve"> – use </w:t>
            </w:r>
            <w:proofErr w:type="spellStart"/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virtualised</w:t>
            </w:r>
            <w:proofErr w:type="spellEnd"/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 xml:space="preserve"> or 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cloud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>provisioned digital twins instead of physical kiosks. + </w:t>
            </w: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Careful planning &amp; good bug triage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 xml:space="preserve"> – </w:t>
            </w:r>
            <w:proofErr w:type="spellStart"/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prioritise</w:t>
            </w:r>
            <w:proofErr w:type="spellEnd"/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 xml:space="preserve"> testing on the most common hardware/network configurations.</w:t>
            </w:r>
          </w:p>
        </w:tc>
      </w:tr>
      <w:tr w:rsidR="004C33AD" w:rsidRPr="004C33AD" w14:paraId="2C8286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CBE19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58598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 xml:space="preserve">Excessive change invalidates test </w:t>
            </w:r>
            <w:proofErr w:type="gramStart"/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results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(</w:t>
            </w:r>
            <w:proofErr w:type="gramEnd"/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frequent firmware or AI model updates causing high regression test volume)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3011E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High (multiple updates per sprint per MRD)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EC120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Medium (delays release, but can be contained)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3D1C0" w14:textId="77777777" w:rsidR="004C33AD" w:rsidRPr="004C33AD" w:rsidRDefault="004C33AD" w:rsidP="004C33AD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Strict change control processes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 – require AI Test Impact Analysis to run only tests affected by recent commits. + </w:t>
            </w:r>
            <w:r w:rsidRPr="004C33AD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Risk priority to drop tests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 – use AI</w:t>
            </w:r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</w:r>
            <w:proofErr w:type="spellStart"/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optimised</w:t>
            </w:r>
            <w:proofErr w:type="spellEnd"/>
            <w:r w:rsidRPr="004C33AD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 xml:space="preserve"> test suite pruning to maintain coverage within compressed timeframes.</w:t>
            </w:r>
          </w:p>
        </w:tc>
      </w:tr>
    </w:tbl>
    <w:p w14:paraId="266F7901" w14:textId="77777777" w:rsidR="004C33AD" w:rsidRPr="004C33AD" w:rsidRDefault="004C33AD" w:rsidP="004C33AD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4C33AD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Summary of Response Choices</w:t>
      </w:r>
    </w:p>
    <w:p w14:paraId="1D81E94B" w14:textId="77777777" w:rsidR="004C33AD" w:rsidRPr="004C33AD" w:rsidRDefault="004C33AD" w:rsidP="004C33AD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4C33AD">
        <w:rPr>
          <w:rFonts w:ascii="Segoe UI" w:eastAsia="宋体" w:hAnsi="Segoe UI" w:cs="Segoe UI"/>
          <w:color w:val="000000" w:themeColor="text1"/>
          <w:kern w:val="0"/>
          <w:szCs w:val="21"/>
        </w:rPr>
        <w:t>For each risk, the recommended steps are selected from the four foundational responses in the table:</w:t>
      </w:r>
    </w:p>
    <w:p w14:paraId="1BDF9221" w14:textId="77777777" w:rsidR="004C33AD" w:rsidRPr="004C33AD" w:rsidRDefault="004C33AD" w:rsidP="004C33AD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4C33AD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Careful planning &amp; good bug triage</w:t>
      </w:r>
      <w:r w:rsidRPr="004C33AD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 – for risks that need early detection and </w:t>
      </w:r>
      <w:proofErr w:type="spellStart"/>
      <w:r w:rsidRPr="004C33AD">
        <w:rPr>
          <w:rFonts w:ascii="Segoe UI" w:eastAsia="宋体" w:hAnsi="Segoe UI" w:cs="Segoe UI"/>
          <w:color w:val="000000" w:themeColor="text1"/>
          <w:kern w:val="0"/>
          <w:szCs w:val="21"/>
        </w:rPr>
        <w:t>prioritisation</w:t>
      </w:r>
      <w:proofErr w:type="spellEnd"/>
      <w:r w:rsidRPr="004C33AD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(risks #1, #3)</w:t>
      </w:r>
    </w:p>
    <w:p w14:paraId="6AF5B216" w14:textId="77777777" w:rsidR="004C33AD" w:rsidRPr="004C33AD" w:rsidRDefault="004C33AD" w:rsidP="004C33AD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4C33AD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Strict change control processes</w:t>
      </w:r>
      <w:r w:rsidRPr="004C33AD">
        <w:rPr>
          <w:rFonts w:ascii="Segoe UI" w:eastAsia="宋体" w:hAnsi="Segoe UI" w:cs="Segoe UI"/>
          <w:color w:val="000000" w:themeColor="text1"/>
          <w:kern w:val="0"/>
          <w:szCs w:val="21"/>
        </w:rPr>
        <w:t> – for risks where volatility invalidates results (risks #1, #4)</w:t>
      </w:r>
    </w:p>
    <w:p w14:paraId="6EBDD560" w14:textId="77777777" w:rsidR="004C33AD" w:rsidRPr="004C33AD" w:rsidRDefault="004C33AD" w:rsidP="004C33AD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4C33AD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lastRenderedPageBreak/>
        <w:t>Outsource performance testing</w:t>
      </w:r>
      <w:r w:rsidRPr="004C33AD">
        <w:rPr>
          <w:rFonts w:ascii="Segoe UI" w:eastAsia="宋体" w:hAnsi="Segoe UI" w:cs="Segoe UI"/>
          <w:color w:val="000000" w:themeColor="text1"/>
          <w:kern w:val="0"/>
          <w:szCs w:val="21"/>
        </w:rPr>
        <w:t> – for scale or environment shortages (risks #2, #3)</w:t>
      </w:r>
    </w:p>
    <w:p w14:paraId="03AFA68F" w14:textId="77777777" w:rsidR="004C33AD" w:rsidRPr="004C33AD" w:rsidRDefault="004C33AD" w:rsidP="004C33AD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4C33AD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Risk priority to drop tests</w:t>
      </w:r>
      <w:r w:rsidRPr="004C33AD">
        <w:rPr>
          <w:rFonts w:ascii="Segoe UI" w:eastAsia="宋体" w:hAnsi="Segoe UI" w:cs="Segoe UI"/>
          <w:color w:val="000000" w:themeColor="text1"/>
          <w:kern w:val="0"/>
          <w:szCs w:val="21"/>
        </w:rPr>
        <w:t> – for schedule pressure (risks #2, #4)</w:t>
      </w:r>
    </w:p>
    <w:p w14:paraId="049577F9" w14:textId="77777777" w:rsidR="004C33AD" w:rsidRPr="004C33AD" w:rsidRDefault="004C33AD" w:rsidP="004C33AD">
      <w:pPr>
        <w:widowControl/>
        <w:spacing w:before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4C33AD">
        <w:rPr>
          <w:rFonts w:ascii="Segoe UI" w:eastAsia="宋体" w:hAnsi="Segoe UI" w:cs="Segoe UI"/>
          <w:color w:val="000000" w:themeColor="text1"/>
          <w:kern w:val="0"/>
          <w:szCs w:val="21"/>
        </w:rPr>
        <w:t>These choices align with the SOTA AI solutions described in the original document (e.g., AI</w:t>
      </w:r>
      <w:r w:rsidRPr="004C33AD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driven triage, Test Impact Analysis, digital twin environments, test suite pruning) but are expressed at the foundational strategy level as requested.</w:t>
      </w:r>
    </w:p>
    <w:p w14:paraId="75282B86" w14:textId="77777777" w:rsidR="004C33AD" w:rsidRPr="004C33AD" w:rsidRDefault="004C33AD" w:rsidP="004C33AD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</w:p>
    <w:p w14:paraId="3351CB97" w14:textId="77777777" w:rsidR="008C21C8" w:rsidRPr="004C33AD" w:rsidRDefault="008C21C8">
      <w:pPr>
        <w:rPr>
          <w:color w:val="000000" w:themeColor="text1"/>
        </w:rPr>
      </w:pPr>
    </w:p>
    <w:sectPr w:rsidR="008C21C8" w:rsidRPr="004C33AD" w:rsidSect="004C33AD">
      <w:pgSz w:w="16840" w:h="1190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E4956"/>
    <w:multiLevelType w:val="multilevel"/>
    <w:tmpl w:val="38A8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AD"/>
    <w:rsid w:val="0048466E"/>
    <w:rsid w:val="004C33AD"/>
    <w:rsid w:val="00501F15"/>
    <w:rsid w:val="008C21C8"/>
    <w:rsid w:val="00A250D6"/>
    <w:rsid w:val="00B37FB3"/>
    <w:rsid w:val="00B85E18"/>
    <w:rsid w:val="00F5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589E"/>
  <w15:chartTrackingRefBased/>
  <w15:docId w15:val="{407EFE35-6285-E84E-8CE6-63CC78A2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33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C33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3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3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3A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3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3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3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33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3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C3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33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33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33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33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33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33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33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3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3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33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33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33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33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33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3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33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33AD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4C33A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4C33AD"/>
  </w:style>
  <w:style w:type="character" w:styleId="ae">
    <w:name w:val="Strong"/>
    <w:basedOn w:val="a0"/>
    <w:uiPriority w:val="22"/>
    <w:qFormat/>
    <w:rsid w:val="004C3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Liu</dc:creator>
  <cp:keywords/>
  <dc:description/>
  <cp:lastModifiedBy>Qin Liu</cp:lastModifiedBy>
  <cp:revision>1</cp:revision>
  <dcterms:created xsi:type="dcterms:W3CDTF">2026-05-11T09:30:00Z</dcterms:created>
  <dcterms:modified xsi:type="dcterms:W3CDTF">2026-05-11T09:32:00Z</dcterms:modified>
</cp:coreProperties>
</file>