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62DF" w14:textId="77777777" w:rsidR="00A2509C" w:rsidRPr="00A2509C" w:rsidRDefault="00A2509C" w:rsidP="00A2509C">
      <w:pPr>
        <w:widowControl/>
        <w:shd w:val="clear" w:color="auto" w:fill="FFFFFF"/>
        <w:spacing w:after="240"/>
        <w:jc w:val="left"/>
        <w:outlineLvl w:val="1"/>
        <w:rPr>
          <w:rFonts w:ascii="Segoe UI" w:eastAsia="宋体" w:hAnsi="Segoe UI" w:cs="Segoe UI"/>
          <w:b/>
          <w:bCs/>
          <w:color w:val="000000" w:themeColor="text1"/>
          <w:kern w:val="0"/>
          <w:sz w:val="36"/>
          <w:szCs w:val="36"/>
        </w:rPr>
      </w:pPr>
      <w:r w:rsidRPr="00A2509C">
        <w:rPr>
          <w:rFonts w:ascii="Segoe UI" w:eastAsia="宋体" w:hAnsi="Segoe UI" w:cs="Segoe UI"/>
          <w:b/>
          <w:bCs/>
          <w:color w:val="000000" w:themeColor="text1"/>
          <w:kern w:val="0"/>
          <w:sz w:val="36"/>
          <w:szCs w:val="36"/>
        </w:rPr>
        <w:t>Test Tool Types Useful for Testing Omninet</w:t>
      </w:r>
    </w:p>
    <w:p w14:paraId="4463C3A7"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color w:val="000000" w:themeColor="text1"/>
          <w:kern w:val="0"/>
          <w:szCs w:val="21"/>
        </w:rPr>
        <w:t>Based on the Omninet AI project requirements (kiosk hardware, cloud backend, AI assistant, payment processing, content filtering, security, performance at scale), the following test tool categories are relevant:</w:t>
      </w:r>
    </w:p>
    <w:p w14:paraId="4255B1D0"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Test Management Tools</w:t>
      </w:r>
      <w:r w:rsidRPr="00A2509C">
        <w:rPr>
          <w:rFonts w:ascii="Segoe UI" w:eastAsia="宋体" w:hAnsi="Segoe UI" w:cs="Segoe UI"/>
          <w:color w:val="000000" w:themeColor="text1"/>
          <w:kern w:val="0"/>
          <w:szCs w:val="21"/>
        </w:rPr>
        <w:t> – for traceability from MRD requirements to test cases, risk register, and progress reporting.</w:t>
      </w:r>
    </w:p>
    <w:p w14:paraId="6C9351BA"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Defect Tracking Tools</w:t>
      </w:r>
      <w:r w:rsidRPr="00A2509C">
        <w:rPr>
          <w:rFonts w:ascii="Segoe UI" w:eastAsia="宋体" w:hAnsi="Segoe UI" w:cs="Segoe UI"/>
          <w:color w:val="000000" w:themeColor="text1"/>
          <w:kern w:val="0"/>
          <w:szCs w:val="21"/>
        </w:rPr>
        <w:t> – for managing incidents across kiosk firmware, cloud services, and AI models.</w:t>
      </w:r>
    </w:p>
    <w:p w14:paraId="6AB32C40"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Configuration Management Tools</w:t>
      </w:r>
      <w:r w:rsidRPr="00A2509C">
        <w:rPr>
          <w:rFonts w:ascii="Segoe UI" w:eastAsia="宋体" w:hAnsi="Segoe UI" w:cs="Segoe UI"/>
          <w:color w:val="000000" w:themeColor="text1"/>
          <w:kern w:val="0"/>
          <w:szCs w:val="21"/>
        </w:rPr>
        <w:t> – for version control of kiosk firmware, test scripts, and test environment baselines.</w:t>
      </w:r>
    </w:p>
    <w:p w14:paraId="76B591CD"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Static Analysis Tools</w:t>
      </w:r>
      <w:r w:rsidRPr="00A2509C">
        <w:rPr>
          <w:rFonts w:ascii="Segoe UI" w:eastAsia="宋体" w:hAnsi="Segoe UI" w:cs="Segoe UI"/>
          <w:color w:val="000000" w:themeColor="text1"/>
          <w:kern w:val="0"/>
          <w:szCs w:val="21"/>
        </w:rPr>
        <w:t> – to enforce coding standards and detect security vulnerabilities in kiosk C/C++ code and cloud backend.</w:t>
      </w:r>
    </w:p>
    <w:p w14:paraId="2EA75DA9"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Test Design Tools</w:t>
      </w:r>
      <w:r w:rsidRPr="00A2509C">
        <w:rPr>
          <w:rFonts w:ascii="Segoe UI" w:eastAsia="宋体" w:hAnsi="Segoe UI" w:cs="Segoe UI"/>
          <w:color w:val="000000" w:themeColor="text1"/>
          <w:kern w:val="0"/>
          <w:szCs w:val="21"/>
        </w:rPr>
        <w:t> – to generate test cases from MRD acceptance criteria (e.g., payment timeout scenarios).</w:t>
      </w:r>
    </w:p>
    <w:p w14:paraId="65C0DD5B"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Test Data Tools</w:t>
      </w:r>
      <w:r w:rsidRPr="00A2509C">
        <w:rPr>
          <w:rFonts w:ascii="Segoe UI" w:eastAsia="宋体" w:hAnsi="Segoe UI" w:cs="Segoe UI"/>
          <w:color w:val="000000" w:themeColor="text1"/>
          <w:kern w:val="0"/>
          <w:szCs w:val="21"/>
        </w:rPr>
        <w:t> – to generate large volumes of realistic payment records and anonymised production logs.</w:t>
      </w:r>
    </w:p>
    <w:p w14:paraId="32F8D868"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Test Execution Tools</w:t>
      </w:r>
      <w:r w:rsidRPr="00A2509C">
        <w:rPr>
          <w:rFonts w:ascii="Segoe UI" w:eastAsia="宋体" w:hAnsi="Segoe UI" w:cs="Segoe UI"/>
          <w:color w:val="000000" w:themeColor="text1"/>
          <w:kern w:val="0"/>
          <w:szCs w:val="21"/>
        </w:rPr>
        <w:t> – for automated API and UI regression tests.</w:t>
      </w:r>
    </w:p>
    <w:p w14:paraId="0F92DA49"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Test Frameworks / Harnesses</w:t>
      </w:r>
      <w:r w:rsidRPr="00A2509C">
        <w:rPr>
          <w:rFonts w:ascii="Segoe UI" w:eastAsia="宋体" w:hAnsi="Segoe UI" w:cs="Segoe UI"/>
          <w:color w:val="000000" w:themeColor="text1"/>
          <w:kern w:val="0"/>
          <w:szCs w:val="21"/>
        </w:rPr>
        <w:t> – to simulate payment gateway failures and content filtering latency.</w:t>
      </w:r>
    </w:p>
    <w:p w14:paraId="0FCCE775"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Coverage Measurement Tools</w:t>
      </w:r>
      <w:r w:rsidRPr="00A2509C">
        <w:rPr>
          <w:rFonts w:ascii="Segoe UI" w:eastAsia="宋体" w:hAnsi="Segoe UI" w:cs="Segoe UI"/>
          <w:color w:val="000000" w:themeColor="text1"/>
          <w:kern w:val="0"/>
          <w:szCs w:val="21"/>
        </w:rPr>
        <w:t> – to measure code coverage of kiosk firmware.</w:t>
      </w:r>
    </w:p>
    <w:p w14:paraId="42D82B2D"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Security Tools</w:t>
      </w:r>
      <w:r w:rsidRPr="00A2509C">
        <w:rPr>
          <w:rFonts w:ascii="Segoe UI" w:eastAsia="宋体" w:hAnsi="Segoe UI" w:cs="Segoe UI"/>
          <w:color w:val="000000" w:themeColor="text1"/>
          <w:kern w:val="0"/>
          <w:szCs w:val="21"/>
        </w:rPr>
        <w:t> – for vulnerability scanning and penetration testing.</w:t>
      </w:r>
    </w:p>
    <w:p w14:paraId="79FD359C"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Performance &amp; Monitoring Tools</w:t>
      </w:r>
      <w:r w:rsidRPr="00A2509C">
        <w:rPr>
          <w:rFonts w:ascii="Segoe UI" w:eastAsia="宋体" w:hAnsi="Segoe UI" w:cs="Segoe UI"/>
          <w:color w:val="000000" w:themeColor="text1"/>
          <w:kern w:val="0"/>
          <w:szCs w:val="21"/>
        </w:rPr>
        <w:t> – to simulate 10,000 concurrent kiosks and monitor resource usage.</w:t>
      </w:r>
    </w:p>
    <w:p w14:paraId="01FEA0D4" w14:textId="77777777" w:rsidR="00A2509C" w:rsidRPr="00A2509C" w:rsidRDefault="00A2509C" w:rsidP="00A2509C">
      <w:pPr>
        <w:widowControl/>
        <w:numPr>
          <w:ilvl w:val="0"/>
          <w:numId w:val="1"/>
        </w:numPr>
        <w:shd w:val="clear" w:color="auto" w:fill="FFFFFF"/>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Review Support Tools</w:t>
      </w:r>
      <w:r w:rsidRPr="00A2509C">
        <w:rPr>
          <w:rFonts w:ascii="Segoe UI" w:eastAsia="宋体" w:hAnsi="Segoe UI" w:cs="Segoe UI"/>
          <w:color w:val="000000" w:themeColor="text1"/>
          <w:kern w:val="0"/>
          <w:szCs w:val="21"/>
        </w:rPr>
        <w:t> – for code and requirement reviews.</w:t>
      </w:r>
    </w:p>
    <w:p w14:paraId="206CA1EF"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color w:val="000000" w:themeColor="text1"/>
          <w:kern w:val="0"/>
          <w:szCs w:val="21"/>
        </w:rPr>
        <w:t>Below are two solution strategies: </w:t>
      </w:r>
      <w:r w:rsidRPr="00A2509C">
        <w:rPr>
          <w:rFonts w:ascii="Segoe UI" w:eastAsia="宋体" w:hAnsi="Segoe UI" w:cs="Segoe UI"/>
          <w:b/>
          <w:bCs/>
          <w:color w:val="000000" w:themeColor="text1"/>
          <w:kern w:val="0"/>
          <w:szCs w:val="21"/>
        </w:rPr>
        <w:t>Solution 1 – Minimise cost (highest ROI)</w:t>
      </w:r>
      <w:r w:rsidRPr="00A2509C">
        <w:rPr>
          <w:rFonts w:ascii="Segoe UI" w:eastAsia="宋体" w:hAnsi="Segoe UI" w:cs="Segoe UI"/>
          <w:color w:val="000000" w:themeColor="text1"/>
          <w:kern w:val="0"/>
          <w:szCs w:val="21"/>
        </w:rPr>
        <w:t> and </w:t>
      </w:r>
      <w:r w:rsidRPr="00A2509C">
        <w:rPr>
          <w:rFonts w:ascii="Segoe UI" w:eastAsia="宋体" w:hAnsi="Segoe UI" w:cs="Segoe UI"/>
          <w:b/>
          <w:bCs/>
          <w:color w:val="000000" w:themeColor="text1"/>
          <w:kern w:val="0"/>
          <w:szCs w:val="21"/>
        </w:rPr>
        <w:t>Solution 2 – Optimised (balance cost and performance)</w:t>
      </w:r>
      <w:r w:rsidRPr="00A2509C">
        <w:rPr>
          <w:rFonts w:ascii="Segoe UI" w:eastAsia="宋体" w:hAnsi="Segoe UI" w:cs="Segoe UI"/>
          <w:color w:val="000000" w:themeColor="text1"/>
          <w:kern w:val="0"/>
          <w:szCs w:val="21"/>
        </w:rPr>
        <w:t>.</w:t>
      </w:r>
    </w:p>
    <w:p w14:paraId="028D1B28" w14:textId="77777777" w:rsidR="00A2509C" w:rsidRPr="00A2509C" w:rsidRDefault="008A373F" w:rsidP="00A2509C">
      <w:pPr>
        <w:widowControl/>
        <w:shd w:val="clear" w:color="auto" w:fill="FFFFFF"/>
        <w:spacing w:before="480" w:after="480"/>
        <w:jc w:val="left"/>
        <w:rPr>
          <w:rFonts w:ascii="Segoe UI" w:eastAsia="宋体" w:hAnsi="Segoe UI" w:cs="Segoe UI"/>
          <w:color w:val="000000" w:themeColor="text1"/>
          <w:kern w:val="0"/>
          <w:szCs w:val="21"/>
        </w:rPr>
      </w:pPr>
      <w:r w:rsidRPr="00A2509C">
        <w:rPr>
          <w:rFonts w:ascii="Segoe UI" w:eastAsia="宋体" w:hAnsi="Segoe UI" w:cs="Segoe UI"/>
          <w:noProof/>
          <w:color w:val="000000" w:themeColor="text1"/>
          <w:kern w:val="0"/>
          <w:szCs w:val="21"/>
        </w:rPr>
        <w:pict w14:anchorId="7A59ED6D">
          <v:rect id="_x0000_i1027" alt="" style="width:414.9pt;height:.05pt;mso-width-percent:0;mso-height-percent:0;mso-width-percent:0;mso-height-percent:0" o:hrpct="999" o:hralign="center" o:hrstd="t" o:hr="t" fillcolor="#a0a0a0" stroked="f"/>
        </w:pict>
      </w:r>
    </w:p>
    <w:p w14:paraId="7A578307" w14:textId="77777777" w:rsidR="00A2509C" w:rsidRPr="00A2509C" w:rsidRDefault="00A2509C" w:rsidP="00A2509C">
      <w:pPr>
        <w:widowControl/>
        <w:shd w:val="clear" w:color="auto" w:fill="FFFFFF"/>
        <w:spacing w:before="480" w:after="240"/>
        <w:jc w:val="left"/>
        <w:outlineLvl w:val="1"/>
        <w:rPr>
          <w:rFonts w:ascii="Segoe UI" w:eastAsia="宋体" w:hAnsi="Segoe UI" w:cs="Segoe UI"/>
          <w:b/>
          <w:bCs/>
          <w:color w:val="000000" w:themeColor="text1"/>
          <w:kern w:val="0"/>
          <w:sz w:val="36"/>
          <w:szCs w:val="36"/>
        </w:rPr>
      </w:pPr>
      <w:r w:rsidRPr="00A2509C">
        <w:rPr>
          <w:rFonts w:ascii="Segoe UI" w:eastAsia="宋体" w:hAnsi="Segoe UI" w:cs="Segoe UI"/>
          <w:b/>
          <w:bCs/>
          <w:color w:val="000000" w:themeColor="text1"/>
          <w:kern w:val="0"/>
          <w:sz w:val="36"/>
          <w:szCs w:val="36"/>
        </w:rPr>
        <w:t>Solution 1 – Minimise Cost (Highest ROI)</w:t>
      </w:r>
    </w:p>
    <w:p w14:paraId="0A4A97EA"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Objective</w:t>
      </w:r>
      <w:r w:rsidRPr="00A2509C">
        <w:rPr>
          <w:rFonts w:ascii="Segoe UI" w:eastAsia="宋体" w:hAnsi="Segoe UI" w:cs="Segoe UI"/>
          <w:color w:val="000000" w:themeColor="text1"/>
          <w:kern w:val="0"/>
          <w:szCs w:val="21"/>
        </w:rPr>
        <w:t> – Achieve essential testing capabilities with minimal tool expenditure, using open</w:t>
      </w:r>
      <w:r w:rsidRPr="00A2509C">
        <w:rPr>
          <w:rFonts w:ascii="Segoe UI" w:eastAsia="宋体" w:hAnsi="Segoe UI" w:cs="Segoe UI"/>
          <w:color w:val="000000" w:themeColor="text1"/>
          <w:kern w:val="0"/>
          <w:szCs w:val="21"/>
        </w:rPr>
        <w:noBreakHyphen/>
        <w:t>source and lightweight tools. Prioritise automation only where it delivers quick return on investment (e.g., regression tests, static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3352"/>
        <w:gridCol w:w="3836"/>
      </w:tblGrid>
      <w:tr w:rsidR="00A2509C" w:rsidRPr="00A2509C" w14:paraId="2BC51895" w14:textId="77777777" w:rsidTr="00A2509C">
        <w:trPr>
          <w:tblHeader/>
        </w:trPr>
        <w:tc>
          <w:tcPr>
            <w:tcW w:w="0" w:type="auto"/>
            <w:tcMar>
              <w:top w:w="150" w:type="dxa"/>
              <w:left w:w="0" w:type="dxa"/>
              <w:bottom w:w="150" w:type="dxa"/>
              <w:right w:w="240" w:type="dxa"/>
            </w:tcMar>
            <w:vAlign w:val="center"/>
            <w:hideMark/>
          </w:tcPr>
          <w:p w14:paraId="6AB2937E"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lastRenderedPageBreak/>
              <w:t>Tool Category</w:t>
            </w:r>
          </w:p>
        </w:tc>
        <w:tc>
          <w:tcPr>
            <w:tcW w:w="3352" w:type="dxa"/>
            <w:tcMar>
              <w:top w:w="150" w:type="dxa"/>
              <w:left w:w="240" w:type="dxa"/>
              <w:bottom w:w="150" w:type="dxa"/>
              <w:right w:w="240" w:type="dxa"/>
            </w:tcMar>
            <w:vAlign w:val="center"/>
            <w:hideMark/>
          </w:tcPr>
          <w:p w14:paraId="5FD13E69"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Selected Tool / Approach</w:t>
            </w:r>
          </w:p>
        </w:tc>
        <w:tc>
          <w:tcPr>
            <w:tcW w:w="3836" w:type="dxa"/>
            <w:tcMar>
              <w:top w:w="150" w:type="dxa"/>
              <w:left w:w="240" w:type="dxa"/>
              <w:bottom w:w="150" w:type="dxa"/>
              <w:right w:w="240" w:type="dxa"/>
            </w:tcMar>
            <w:vAlign w:val="center"/>
            <w:hideMark/>
          </w:tcPr>
          <w:p w14:paraId="795422B9"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Justification (Cost vs. ROI)</w:t>
            </w:r>
          </w:p>
        </w:tc>
      </w:tr>
      <w:tr w:rsidR="00A2509C" w:rsidRPr="00A2509C" w14:paraId="6A0272F4" w14:textId="77777777" w:rsidTr="00A2509C">
        <w:tc>
          <w:tcPr>
            <w:tcW w:w="0" w:type="auto"/>
            <w:tcMar>
              <w:top w:w="150" w:type="dxa"/>
              <w:left w:w="0" w:type="dxa"/>
              <w:bottom w:w="150" w:type="dxa"/>
              <w:right w:w="240" w:type="dxa"/>
            </w:tcMar>
            <w:vAlign w:val="center"/>
            <w:hideMark/>
          </w:tcPr>
          <w:p w14:paraId="434CCBE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Management</w:t>
            </w:r>
          </w:p>
        </w:tc>
        <w:tc>
          <w:tcPr>
            <w:tcW w:w="3352" w:type="dxa"/>
            <w:tcMar>
              <w:top w:w="150" w:type="dxa"/>
              <w:left w:w="240" w:type="dxa"/>
              <w:bottom w:w="150" w:type="dxa"/>
              <w:right w:w="240" w:type="dxa"/>
            </w:tcMar>
            <w:vAlign w:val="center"/>
            <w:hideMark/>
          </w:tcPr>
          <w:p w14:paraId="7436D9C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Google Sheets + Jira (free tier)</w:t>
            </w:r>
          </w:p>
        </w:tc>
        <w:tc>
          <w:tcPr>
            <w:tcW w:w="3836" w:type="dxa"/>
            <w:tcMar>
              <w:top w:w="150" w:type="dxa"/>
              <w:left w:w="240" w:type="dxa"/>
              <w:bottom w:w="150" w:type="dxa"/>
              <w:right w:w="0" w:type="dxa"/>
            </w:tcMar>
            <w:vAlign w:val="center"/>
            <w:hideMark/>
          </w:tcPr>
          <w:p w14:paraId="774D42A4"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No licence cost; manual traceability for initial 1000 kiosks.</w:t>
            </w:r>
          </w:p>
        </w:tc>
      </w:tr>
      <w:tr w:rsidR="00A2509C" w:rsidRPr="00A2509C" w14:paraId="4ED4A928" w14:textId="77777777" w:rsidTr="00A2509C">
        <w:tc>
          <w:tcPr>
            <w:tcW w:w="0" w:type="auto"/>
            <w:tcMar>
              <w:top w:w="150" w:type="dxa"/>
              <w:left w:w="0" w:type="dxa"/>
              <w:bottom w:w="150" w:type="dxa"/>
              <w:right w:w="240" w:type="dxa"/>
            </w:tcMar>
            <w:vAlign w:val="center"/>
            <w:hideMark/>
          </w:tcPr>
          <w:p w14:paraId="7B00F1B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Defect Tracking</w:t>
            </w:r>
          </w:p>
        </w:tc>
        <w:tc>
          <w:tcPr>
            <w:tcW w:w="3352" w:type="dxa"/>
            <w:tcMar>
              <w:top w:w="150" w:type="dxa"/>
              <w:left w:w="240" w:type="dxa"/>
              <w:bottom w:w="150" w:type="dxa"/>
              <w:right w:w="240" w:type="dxa"/>
            </w:tcMar>
            <w:vAlign w:val="center"/>
            <w:hideMark/>
          </w:tcPr>
          <w:p w14:paraId="6E4551E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Jira free tier</w:t>
            </w:r>
          </w:p>
        </w:tc>
        <w:tc>
          <w:tcPr>
            <w:tcW w:w="3836" w:type="dxa"/>
            <w:tcMar>
              <w:top w:w="150" w:type="dxa"/>
              <w:left w:w="240" w:type="dxa"/>
              <w:bottom w:w="150" w:type="dxa"/>
              <w:right w:w="0" w:type="dxa"/>
            </w:tcMar>
            <w:vAlign w:val="center"/>
            <w:hideMark/>
          </w:tcPr>
          <w:p w14:paraId="746481CE"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Already used; 0 additional cost.</w:t>
            </w:r>
          </w:p>
        </w:tc>
      </w:tr>
      <w:tr w:rsidR="00A2509C" w:rsidRPr="00A2509C" w14:paraId="06E22815" w14:textId="77777777" w:rsidTr="00A2509C">
        <w:tc>
          <w:tcPr>
            <w:tcW w:w="0" w:type="auto"/>
            <w:tcMar>
              <w:top w:w="150" w:type="dxa"/>
              <w:left w:w="0" w:type="dxa"/>
              <w:bottom w:w="150" w:type="dxa"/>
              <w:right w:w="240" w:type="dxa"/>
            </w:tcMar>
            <w:vAlign w:val="center"/>
            <w:hideMark/>
          </w:tcPr>
          <w:p w14:paraId="4F6A3DF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Configuration Management</w:t>
            </w:r>
          </w:p>
        </w:tc>
        <w:tc>
          <w:tcPr>
            <w:tcW w:w="3352" w:type="dxa"/>
            <w:tcMar>
              <w:top w:w="150" w:type="dxa"/>
              <w:left w:w="240" w:type="dxa"/>
              <w:bottom w:w="150" w:type="dxa"/>
              <w:right w:w="240" w:type="dxa"/>
            </w:tcMar>
            <w:vAlign w:val="center"/>
            <w:hideMark/>
          </w:tcPr>
          <w:p w14:paraId="39D8362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Git + GitLab (self</w:t>
            </w:r>
            <w:r w:rsidRPr="00A2509C">
              <w:rPr>
                <w:rFonts w:ascii="宋体" w:eastAsia="宋体" w:hAnsi="宋体" w:cs="宋体"/>
                <w:b/>
                <w:bCs/>
                <w:color w:val="000000" w:themeColor="text1"/>
                <w:kern w:val="0"/>
                <w:sz w:val="24"/>
              </w:rPr>
              <w:noBreakHyphen/>
              <w:t>hosted)</w:t>
            </w:r>
          </w:p>
        </w:tc>
        <w:tc>
          <w:tcPr>
            <w:tcW w:w="3836" w:type="dxa"/>
            <w:tcMar>
              <w:top w:w="150" w:type="dxa"/>
              <w:left w:w="240" w:type="dxa"/>
              <w:bottom w:w="150" w:type="dxa"/>
              <w:right w:w="0" w:type="dxa"/>
            </w:tcMar>
            <w:vAlign w:val="center"/>
            <w:hideMark/>
          </w:tcPr>
          <w:p w14:paraId="36A22E97"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Open source; low maintenance.</w:t>
            </w:r>
          </w:p>
        </w:tc>
      </w:tr>
      <w:tr w:rsidR="00A2509C" w:rsidRPr="00A2509C" w14:paraId="6594EE95" w14:textId="77777777" w:rsidTr="00A2509C">
        <w:tc>
          <w:tcPr>
            <w:tcW w:w="0" w:type="auto"/>
            <w:tcMar>
              <w:top w:w="150" w:type="dxa"/>
              <w:left w:w="0" w:type="dxa"/>
              <w:bottom w:w="150" w:type="dxa"/>
              <w:right w:w="240" w:type="dxa"/>
            </w:tcMar>
            <w:vAlign w:val="center"/>
            <w:hideMark/>
          </w:tcPr>
          <w:p w14:paraId="2D285D3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Static Analysis</w:t>
            </w:r>
          </w:p>
        </w:tc>
        <w:tc>
          <w:tcPr>
            <w:tcW w:w="3352" w:type="dxa"/>
            <w:tcMar>
              <w:top w:w="150" w:type="dxa"/>
              <w:left w:w="240" w:type="dxa"/>
              <w:bottom w:w="150" w:type="dxa"/>
              <w:right w:w="240" w:type="dxa"/>
            </w:tcMar>
            <w:vAlign w:val="center"/>
            <w:hideMark/>
          </w:tcPr>
          <w:p w14:paraId="008CA13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Cppcheck</w:t>
            </w:r>
            <w:r w:rsidRPr="00A2509C">
              <w:rPr>
                <w:rFonts w:ascii="宋体" w:eastAsia="宋体" w:hAnsi="宋体" w:cs="宋体"/>
                <w:color w:val="000000" w:themeColor="text1"/>
                <w:kern w:val="0"/>
                <w:sz w:val="24"/>
              </w:rPr>
              <w:t> (for C) + </w:t>
            </w:r>
            <w:r w:rsidRPr="00A2509C">
              <w:rPr>
                <w:rFonts w:ascii="宋体" w:eastAsia="宋体" w:hAnsi="宋体" w:cs="宋体"/>
                <w:b/>
                <w:bCs/>
                <w:color w:val="000000" w:themeColor="text1"/>
                <w:kern w:val="0"/>
                <w:sz w:val="24"/>
              </w:rPr>
              <w:t>SonarQube Community</w:t>
            </w:r>
          </w:p>
        </w:tc>
        <w:tc>
          <w:tcPr>
            <w:tcW w:w="3836" w:type="dxa"/>
            <w:tcMar>
              <w:top w:w="150" w:type="dxa"/>
              <w:left w:w="240" w:type="dxa"/>
              <w:bottom w:w="150" w:type="dxa"/>
              <w:right w:w="0" w:type="dxa"/>
            </w:tcMar>
            <w:vAlign w:val="center"/>
            <w:hideMark/>
          </w:tcPr>
          <w:p w14:paraId="2E1137C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catches memory leaks and null pointers early.</w:t>
            </w:r>
          </w:p>
        </w:tc>
      </w:tr>
      <w:tr w:rsidR="00A2509C" w:rsidRPr="00A2509C" w14:paraId="16EDA5C4" w14:textId="77777777" w:rsidTr="00A2509C">
        <w:tc>
          <w:tcPr>
            <w:tcW w:w="0" w:type="auto"/>
            <w:tcMar>
              <w:top w:w="150" w:type="dxa"/>
              <w:left w:w="0" w:type="dxa"/>
              <w:bottom w:w="150" w:type="dxa"/>
              <w:right w:w="240" w:type="dxa"/>
            </w:tcMar>
            <w:vAlign w:val="center"/>
            <w:hideMark/>
          </w:tcPr>
          <w:p w14:paraId="1D91BF0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Design</w:t>
            </w:r>
          </w:p>
        </w:tc>
        <w:tc>
          <w:tcPr>
            <w:tcW w:w="3352" w:type="dxa"/>
            <w:tcMar>
              <w:top w:w="150" w:type="dxa"/>
              <w:left w:w="240" w:type="dxa"/>
              <w:bottom w:w="150" w:type="dxa"/>
              <w:right w:w="240" w:type="dxa"/>
            </w:tcMar>
            <w:vAlign w:val="center"/>
            <w:hideMark/>
          </w:tcPr>
          <w:p w14:paraId="7B5B540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Manual + Excel</w:t>
            </w:r>
          </w:p>
        </w:tc>
        <w:tc>
          <w:tcPr>
            <w:tcW w:w="3836" w:type="dxa"/>
            <w:tcMar>
              <w:top w:w="150" w:type="dxa"/>
              <w:left w:w="240" w:type="dxa"/>
              <w:bottom w:w="150" w:type="dxa"/>
              <w:right w:w="0" w:type="dxa"/>
            </w:tcMar>
            <w:vAlign w:val="center"/>
            <w:hideMark/>
          </w:tcPr>
          <w:p w14:paraId="79B45A00"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No tool cost; testers write scenarios from MRD.</w:t>
            </w:r>
          </w:p>
        </w:tc>
      </w:tr>
      <w:tr w:rsidR="00A2509C" w:rsidRPr="00A2509C" w14:paraId="72966019" w14:textId="77777777" w:rsidTr="00A2509C">
        <w:tc>
          <w:tcPr>
            <w:tcW w:w="0" w:type="auto"/>
            <w:tcMar>
              <w:top w:w="150" w:type="dxa"/>
              <w:left w:w="0" w:type="dxa"/>
              <w:bottom w:w="150" w:type="dxa"/>
              <w:right w:w="240" w:type="dxa"/>
            </w:tcMar>
            <w:vAlign w:val="center"/>
            <w:hideMark/>
          </w:tcPr>
          <w:p w14:paraId="35FD1C1B"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Data</w:t>
            </w:r>
          </w:p>
        </w:tc>
        <w:tc>
          <w:tcPr>
            <w:tcW w:w="3352" w:type="dxa"/>
            <w:tcMar>
              <w:top w:w="150" w:type="dxa"/>
              <w:left w:w="240" w:type="dxa"/>
              <w:bottom w:w="150" w:type="dxa"/>
              <w:right w:w="240" w:type="dxa"/>
            </w:tcMar>
            <w:vAlign w:val="center"/>
            <w:hideMark/>
          </w:tcPr>
          <w:p w14:paraId="4A2C11B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Python scripts (Faker library)</w:t>
            </w:r>
          </w:p>
        </w:tc>
        <w:tc>
          <w:tcPr>
            <w:tcW w:w="3836" w:type="dxa"/>
            <w:tcMar>
              <w:top w:w="150" w:type="dxa"/>
              <w:left w:w="240" w:type="dxa"/>
              <w:bottom w:w="150" w:type="dxa"/>
              <w:right w:w="0" w:type="dxa"/>
            </w:tcMar>
            <w:vAlign w:val="center"/>
            <w:hideMark/>
          </w:tcPr>
          <w:p w14:paraId="17B0BED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generates synthetic payment data.</w:t>
            </w:r>
          </w:p>
        </w:tc>
      </w:tr>
      <w:tr w:rsidR="00A2509C" w:rsidRPr="00A2509C" w14:paraId="1510CB81" w14:textId="77777777" w:rsidTr="00A2509C">
        <w:tc>
          <w:tcPr>
            <w:tcW w:w="0" w:type="auto"/>
            <w:tcMar>
              <w:top w:w="150" w:type="dxa"/>
              <w:left w:w="0" w:type="dxa"/>
              <w:bottom w:w="150" w:type="dxa"/>
              <w:right w:w="240" w:type="dxa"/>
            </w:tcMar>
            <w:vAlign w:val="center"/>
            <w:hideMark/>
          </w:tcPr>
          <w:p w14:paraId="0DF1940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Execution</w:t>
            </w:r>
          </w:p>
        </w:tc>
        <w:tc>
          <w:tcPr>
            <w:tcW w:w="3352" w:type="dxa"/>
            <w:tcMar>
              <w:top w:w="150" w:type="dxa"/>
              <w:left w:w="240" w:type="dxa"/>
              <w:bottom w:w="150" w:type="dxa"/>
              <w:right w:w="240" w:type="dxa"/>
            </w:tcMar>
            <w:vAlign w:val="center"/>
            <w:hideMark/>
          </w:tcPr>
          <w:p w14:paraId="07C958AB"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Postman (API) + Selenium WebDriver</w:t>
            </w:r>
          </w:p>
        </w:tc>
        <w:tc>
          <w:tcPr>
            <w:tcW w:w="3836" w:type="dxa"/>
            <w:tcMar>
              <w:top w:w="150" w:type="dxa"/>
              <w:left w:w="240" w:type="dxa"/>
              <w:bottom w:w="150" w:type="dxa"/>
              <w:right w:w="0" w:type="dxa"/>
            </w:tcMar>
            <w:vAlign w:val="center"/>
            <w:hideMark/>
          </w:tcPr>
          <w:p w14:paraId="525B567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automate 80% of regression tests.</w:t>
            </w:r>
          </w:p>
        </w:tc>
      </w:tr>
      <w:tr w:rsidR="00A2509C" w:rsidRPr="00A2509C" w14:paraId="644F3315" w14:textId="77777777" w:rsidTr="00A2509C">
        <w:tc>
          <w:tcPr>
            <w:tcW w:w="0" w:type="auto"/>
            <w:tcMar>
              <w:top w:w="150" w:type="dxa"/>
              <w:left w:w="0" w:type="dxa"/>
              <w:bottom w:w="150" w:type="dxa"/>
              <w:right w:w="240" w:type="dxa"/>
            </w:tcMar>
            <w:vAlign w:val="center"/>
            <w:hideMark/>
          </w:tcPr>
          <w:p w14:paraId="405BD72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Frameworks</w:t>
            </w:r>
          </w:p>
        </w:tc>
        <w:tc>
          <w:tcPr>
            <w:tcW w:w="3352" w:type="dxa"/>
            <w:tcMar>
              <w:top w:w="150" w:type="dxa"/>
              <w:left w:w="240" w:type="dxa"/>
              <w:bottom w:w="150" w:type="dxa"/>
              <w:right w:w="240" w:type="dxa"/>
            </w:tcMar>
            <w:vAlign w:val="center"/>
            <w:hideMark/>
          </w:tcPr>
          <w:p w14:paraId="1E59AAFE"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JUnit + Mockito</w:t>
            </w:r>
            <w:r w:rsidRPr="00A2509C">
              <w:rPr>
                <w:rFonts w:ascii="宋体" w:eastAsia="宋体" w:hAnsi="宋体" w:cs="宋体"/>
                <w:color w:val="000000" w:themeColor="text1"/>
                <w:kern w:val="0"/>
                <w:sz w:val="24"/>
              </w:rPr>
              <w:t> (Java) / </w:t>
            </w:r>
            <w:r w:rsidRPr="00A2509C">
              <w:rPr>
                <w:rFonts w:ascii="宋体" w:eastAsia="宋体" w:hAnsi="宋体" w:cs="宋体"/>
                <w:b/>
                <w:bCs/>
                <w:color w:val="000000" w:themeColor="text1"/>
                <w:kern w:val="0"/>
                <w:sz w:val="24"/>
              </w:rPr>
              <w:t>PyTest</w:t>
            </w:r>
            <w:r w:rsidRPr="00A2509C">
              <w:rPr>
                <w:rFonts w:ascii="宋体" w:eastAsia="宋体" w:hAnsi="宋体" w:cs="宋体"/>
                <w:color w:val="000000" w:themeColor="text1"/>
                <w:kern w:val="0"/>
                <w:sz w:val="24"/>
              </w:rPr>
              <w:t> (Python)</w:t>
            </w:r>
          </w:p>
        </w:tc>
        <w:tc>
          <w:tcPr>
            <w:tcW w:w="3836" w:type="dxa"/>
            <w:tcMar>
              <w:top w:w="150" w:type="dxa"/>
              <w:left w:w="240" w:type="dxa"/>
              <w:bottom w:w="150" w:type="dxa"/>
              <w:right w:w="0" w:type="dxa"/>
            </w:tcMar>
            <w:vAlign w:val="center"/>
            <w:hideMark/>
          </w:tcPr>
          <w:p w14:paraId="7101921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mock payment gateway failures.</w:t>
            </w:r>
          </w:p>
        </w:tc>
      </w:tr>
      <w:tr w:rsidR="00A2509C" w:rsidRPr="00A2509C" w14:paraId="6FB33784" w14:textId="77777777" w:rsidTr="00A2509C">
        <w:tc>
          <w:tcPr>
            <w:tcW w:w="0" w:type="auto"/>
            <w:tcMar>
              <w:top w:w="150" w:type="dxa"/>
              <w:left w:w="0" w:type="dxa"/>
              <w:bottom w:w="150" w:type="dxa"/>
              <w:right w:w="240" w:type="dxa"/>
            </w:tcMar>
            <w:vAlign w:val="center"/>
            <w:hideMark/>
          </w:tcPr>
          <w:p w14:paraId="4D6790A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Coverage Measurement</w:t>
            </w:r>
          </w:p>
        </w:tc>
        <w:tc>
          <w:tcPr>
            <w:tcW w:w="3352" w:type="dxa"/>
            <w:tcMar>
              <w:top w:w="150" w:type="dxa"/>
              <w:left w:w="240" w:type="dxa"/>
              <w:bottom w:w="150" w:type="dxa"/>
              <w:right w:w="240" w:type="dxa"/>
            </w:tcMar>
            <w:vAlign w:val="center"/>
            <w:hideMark/>
          </w:tcPr>
          <w:p w14:paraId="192569AE"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gcov / lcov</w:t>
            </w:r>
          </w:p>
        </w:tc>
        <w:tc>
          <w:tcPr>
            <w:tcW w:w="3836" w:type="dxa"/>
            <w:tcMar>
              <w:top w:w="150" w:type="dxa"/>
              <w:left w:w="240" w:type="dxa"/>
              <w:bottom w:w="150" w:type="dxa"/>
              <w:right w:w="0" w:type="dxa"/>
            </w:tcMar>
            <w:vAlign w:val="center"/>
            <w:hideMark/>
          </w:tcPr>
          <w:p w14:paraId="4B53FA3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measure kiosk firmware coverage.</w:t>
            </w:r>
          </w:p>
        </w:tc>
      </w:tr>
      <w:tr w:rsidR="00A2509C" w:rsidRPr="00A2509C" w14:paraId="688784AE" w14:textId="77777777" w:rsidTr="00A2509C">
        <w:tc>
          <w:tcPr>
            <w:tcW w:w="0" w:type="auto"/>
            <w:tcMar>
              <w:top w:w="150" w:type="dxa"/>
              <w:left w:w="0" w:type="dxa"/>
              <w:bottom w:w="150" w:type="dxa"/>
              <w:right w:w="240" w:type="dxa"/>
            </w:tcMar>
            <w:vAlign w:val="center"/>
            <w:hideMark/>
          </w:tcPr>
          <w:p w14:paraId="4965C8D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Security Tools</w:t>
            </w:r>
          </w:p>
        </w:tc>
        <w:tc>
          <w:tcPr>
            <w:tcW w:w="3352" w:type="dxa"/>
            <w:tcMar>
              <w:top w:w="150" w:type="dxa"/>
              <w:left w:w="240" w:type="dxa"/>
              <w:bottom w:w="150" w:type="dxa"/>
              <w:right w:w="240" w:type="dxa"/>
            </w:tcMar>
            <w:vAlign w:val="center"/>
            <w:hideMark/>
          </w:tcPr>
          <w:p w14:paraId="60D71D7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OWASP ZAP (free)</w:t>
            </w:r>
          </w:p>
        </w:tc>
        <w:tc>
          <w:tcPr>
            <w:tcW w:w="3836" w:type="dxa"/>
            <w:tcMar>
              <w:top w:w="150" w:type="dxa"/>
              <w:left w:w="240" w:type="dxa"/>
              <w:bottom w:w="150" w:type="dxa"/>
              <w:right w:w="0" w:type="dxa"/>
            </w:tcMar>
            <w:vAlign w:val="center"/>
            <w:hideMark/>
          </w:tcPr>
          <w:p w14:paraId="37919ED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basic vulnerability scanning.</w:t>
            </w:r>
          </w:p>
        </w:tc>
      </w:tr>
      <w:tr w:rsidR="00A2509C" w:rsidRPr="00A2509C" w14:paraId="063E9E00" w14:textId="77777777" w:rsidTr="00A2509C">
        <w:tc>
          <w:tcPr>
            <w:tcW w:w="0" w:type="auto"/>
            <w:tcMar>
              <w:top w:w="150" w:type="dxa"/>
              <w:left w:w="0" w:type="dxa"/>
              <w:bottom w:w="150" w:type="dxa"/>
              <w:right w:w="240" w:type="dxa"/>
            </w:tcMar>
            <w:vAlign w:val="center"/>
            <w:hideMark/>
          </w:tcPr>
          <w:p w14:paraId="31F9FA9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Performance Tools</w:t>
            </w:r>
          </w:p>
        </w:tc>
        <w:tc>
          <w:tcPr>
            <w:tcW w:w="3352" w:type="dxa"/>
            <w:tcMar>
              <w:top w:w="150" w:type="dxa"/>
              <w:left w:w="240" w:type="dxa"/>
              <w:bottom w:w="150" w:type="dxa"/>
              <w:right w:w="240" w:type="dxa"/>
            </w:tcMar>
            <w:vAlign w:val="center"/>
            <w:hideMark/>
          </w:tcPr>
          <w:p w14:paraId="5E0FB54B"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Apache JMeter (free)</w:t>
            </w:r>
          </w:p>
        </w:tc>
        <w:tc>
          <w:tcPr>
            <w:tcW w:w="3836" w:type="dxa"/>
            <w:tcMar>
              <w:top w:w="150" w:type="dxa"/>
              <w:left w:w="240" w:type="dxa"/>
              <w:bottom w:w="150" w:type="dxa"/>
              <w:right w:w="0" w:type="dxa"/>
            </w:tcMar>
            <w:vAlign w:val="center"/>
            <w:hideMark/>
          </w:tcPr>
          <w:p w14:paraId="1BAAE5C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simulate up to 1000 kiosks (enough for early testing).</w:t>
            </w:r>
          </w:p>
        </w:tc>
      </w:tr>
      <w:tr w:rsidR="00A2509C" w:rsidRPr="00A2509C" w14:paraId="2743FD41" w14:textId="77777777" w:rsidTr="00A2509C">
        <w:tc>
          <w:tcPr>
            <w:tcW w:w="0" w:type="auto"/>
            <w:tcMar>
              <w:top w:w="150" w:type="dxa"/>
              <w:left w:w="0" w:type="dxa"/>
              <w:bottom w:w="150" w:type="dxa"/>
              <w:right w:w="240" w:type="dxa"/>
            </w:tcMar>
            <w:vAlign w:val="center"/>
            <w:hideMark/>
          </w:tcPr>
          <w:p w14:paraId="2B402624"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Review Support</w:t>
            </w:r>
          </w:p>
        </w:tc>
        <w:tc>
          <w:tcPr>
            <w:tcW w:w="3352" w:type="dxa"/>
            <w:tcMar>
              <w:top w:w="150" w:type="dxa"/>
              <w:left w:w="240" w:type="dxa"/>
              <w:bottom w:w="150" w:type="dxa"/>
              <w:right w:w="240" w:type="dxa"/>
            </w:tcMar>
            <w:vAlign w:val="center"/>
            <w:hideMark/>
          </w:tcPr>
          <w:p w14:paraId="5703F92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GitLab Merge Requests + Markdown checklists</w:t>
            </w:r>
          </w:p>
        </w:tc>
        <w:tc>
          <w:tcPr>
            <w:tcW w:w="3836" w:type="dxa"/>
            <w:tcMar>
              <w:top w:w="150" w:type="dxa"/>
              <w:left w:w="240" w:type="dxa"/>
              <w:bottom w:w="150" w:type="dxa"/>
              <w:right w:w="0" w:type="dxa"/>
            </w:tcMar>
            <w:vAlign w:val="center"/>
            <w:hideMark/>
          </w:tcPr>
          <w:p w14:paraId="4E79872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Free; lightweight peer reviews.</w:t>
            </w:r>
          </w:p>
        </w:tc>
      </w:tr>
    </w:tbl>
    <w:p w14:paraId="76575EA8"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Estimated total tool cost per year</w:t>
      </w:r>
      <w:r w:rsidRPr="00A2509C">
        <w:rPr>
          <w:rFonts w:ascii="Segoe UI" w:eastAsia="宋体" w:hAnsi="Segoe UI" w:cs="Segoe UI"/>
          <w:color w:val="000000" w:themeColor="text1"/>
          <w:kern w:val="0"/>
          <w:szCs w:val="21"/>
        </w:rPr>
        <w:t> – $0 (all open source / free tiers).</w:t>
      </w:r>
      <w:r w:rsidRPr="00A2509C">
        <w:rPr>
          <w:rFonts w:ascii="Segoe UI" w:eastAsia="宋体" w:hAnsi="Segoe UI" w:cs="Segoe UI"/>
          <w:color w:val="000000" w:themeColor="text1"/>
          <w:kern w:val="0"/>
          <w:szCs w:val="21"/>
        </w:rPr>
        <w:br/>
      </w:r>
      <w:r w:rsidRPr="00A2509C">
        <w:rPr>
          <w:rFonts w:ascii="Segoe UI" w:eastAsia="宋体" w:hAnsi="Segoe UI" w:cs="Segoe UI"/>
          <w:b/>
          <w:bCs/>
          <w:color w:val="000000" w:themeColor="text1"/>
          <w:kern w:val="0"/>
          <w:szCs w:val="21"/>
        </w:rPr>
        <w:t>ROI rationale</w:t>
      </w:r>
      <w:r w:rsidRPr="00A2509C">
        <w:rPr>
          <w:rFonts w:ascii="Segoe UI" w:eastAsia="宋体" w:hAnsi="Segoe UI" w:cs="Segoe UI"/>
          <w:color w:val="000000" w:themeColor="text1"/>
          <w:kern w:val="0"/>
          <w:szCs w:val="21"/>
        </w:rPr>
        <w:t> – Eliminates manual regression execution (saves ~40 person</w:t>
      </w:r>
      <w:r w:rsidRPr="00A2509C">
        <w:rPr>
          <w:rFonts w:ascii="Segoe UI" w:eastAsia="宋体" w:hAnsi="Segoe UI" w:cs="Segoe UI"/>
          <w:color w:val="000000" w:themeColor="text1"/>
          <w:kern w:val="0"/>
          <w:szCs w:val="21"/>
        </w:rPr>
        <w:noBreakHyphen/>
        <w:t>hours/week), reduces defect leakage to production by 30%. Payback period &lt; 2 months.</w:t>
      </w:r>
    </w:p>
    <w:p w14:paraId="10D74E24" w14:textId="77777777" w:rsidR="00A2509C" w:rsidRPr="00A2509C" w:rsidRDefault="008A373F" w:rsidP="00A2509C">
      <w:pPr>
        <w:widowControl/>
        <w:shd w:val="clear" w:color="auto" w:fill="FFFFFF"/>
        <w:spacing w:before="480" w:after="480"/>
        <w:jc w:val="left"/>
        <w:rPr>
          <w:rFonts w:ascii="Segoe UI" w:eastAsia="宋体" w:hAnsi="Segoe UI" w:cs="Segoe UI"/>
          <w:color w:val="000000" w:themeColor="text1"/>
          <w:kern w:val="0"/>
          <w:szCs w:val="21"/>
        </w:rPr>
      </w:pPr>
      <w:r w:rsidRPr="00A2509C">
        <w:rPr>
          <w:rFonts w:ascii="Segoe UI" w:eastAsia="宋体" w:hAnsi="Segoe UI" w:cs="Segoe UI"/>
          <w:noProof/>
          <w:color w:val="000000" w:themeColor="text1"/>
          <w:kern w:val="0"/>
          <w:szCs w:val="21"/>
        </w:rPr>
        <w:lastRenderedPageBreak/>
        <w:pict w14:anchorId="5B3CA2FE">
          <v:rect id="_x0000_i1026" alt="" style="width:414.9pt;height:.05pt;mso-width-percent:0;mso-height-percent:0;mso-width-percent:0;mso-height-percent:0" o:hrpct="999" o:hralign="center" o:hrstd="t" o:hr="t" fillcolor="#a0a0a0" stroked="f"/>
        </w:pict>
      </w:r>
    </w:p>
    <w:p w14:paraId="2EDD7F57" w14:textId="77777777" w:rsidR="00A2509C" w:rsidRPr="00A2509C" w:rsidRDefault="00A2509C" w:rsidP="00A2509C">
      <w:pPr>
        <w:widowControl/>
        <w:shd w:val="clear" w:color="auto" w:fill="FFFFFF"/>
        <w:spacing w:before="480" w:after="240"/>
        <w:jc w:val="left"/>
        <w:outlineLvl w:val="1"/>
        <w:rPr>
          <w:rFonts w:ascii="Segoe UI" w:eastAsia="宋体" w:hAnsi="Segoe UI" w:cs="Segoe UI"/>
          <w:b/>
          <w:bCs/>
          <w:color w:val="000000" w:themeColor="text1"/>
          <w:kern w:val="0"/>
          <w:sz w:val="36"/>
          <w:szCs w:val="36"/>
        </w:rPr>
      </w:pPr>
      <w:r w:rsidRPr="00A2509C">
        <w:rPr>
          <w:rFonts w:ascii="Segoe UI" w:eastAsia="宋体" w:hAnsi="Segoe UI" w:cs="Segoe UI"/>
          <w:b/>
          <w:bCs/>
          <w:color w:val="000000" w:themeColor="text1"/>
          <w:kern w:val="0"/>
          <w:sz w:val="36"/>
          <w:szCs w:val="36"/>
        </w:rPr>
        <w:t>Solution 2 – Optimised (Balance Cost and Performance)</w:t>
      </w:r>
    </w:p>
    <w:p w14:paraId="026AF24B"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Objective</w:t>
      </w:r>
      <w:r w:rsidRPr="00A2509C">
        <w:rPr>
          <w:rFonts w:ascii="Segoe UI" w:eastAsia="宋体" w:hAnsi="Segoe UI" w:cs="Segoe UI"/>
          <w:color w:val="000000" w:themeColor="text1"/>
          <w:kern w:val="0"/>
          <w:szCs w:val="21"/>
        </w:rPr>
        <w:t> – Invest in commercial and advanced tools where they significantly reduce effort, accelerate feedback, or cover critical risks (e.g., performance at 10,000 kiosks, AI model testing). Maintain some free tools for less critical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3543"/>
        <w:gridCol w:w="4262"/>
      </w:tblGrid>
      <w:tr w:rsidR="00A2509C" w:rsidRPr="00A2509C" w14:paraId="6CFC99CE" w14:textId="77777777" w:rsidTr="00A2509C">
        <w:trPr>
          <w:tblHeader/>
        </w:trPr>
        <w:tc>
          <w:tcPr>
            <w:tcW w:w="1555" w:type="dxa"/>
            <w:tcMar>
              <w:top w:w="150" w:type="dxa"/>
              <w:left w:w="0" w:type="dxa"/>
              <w:bottom w:w="150" w:type="dxa"/>
              <w:right w:w="240" w:type="dxa"/>
            </w:tcMar>
            <w:vAlign w:val="center"/>
            <w:hideMark/>
          </w:tcPr>
          <w:p w14:paraId="5BDDD7E0"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Tool Category</w:t>
            </w:r>
          </w:p>
        </w:tc>
        <w:tc>
          <w:tcPr>
            <w:tcW w:w="3543" w:type="dxa"/>
            <w:tcMar>
              <w:top w:w="150" w:type="dxa"/>
              <w:left w:w="240" w:type="dxa"/>
              <w:bottom w:w="150" w:type="dxa"/>
              <w:right w:w="240" w:type="dxa"/>
            </w:tcMar>
            <w:vAlign w:val="center"/>
            <w:hideMark/>
          </w:tcPr>
          <w:p w14:paraId="68AF81CB"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Selected Tool / Approach</w:t>
            </w:r>
          </w:p>
        </w:tc>
        <w:tc>
          <w:tcPr>
            <w:tcW w:w="4262" w:type="dxa"/>
            <w:tcMar>
              <w:top w:w="150" w:type="dxa"/>
              <w:left w:w="240" w:type="dxa"/>
              <w:bottom w:w="150" w:type="dxa"/>
              <w:right w:w="240" w:type="dxa"/>
            </w:tcMar>
            <w:vAlign w:val="center"/>
            <w:hideMark/>
          </w:tcPr>
          <w:p w14:paraId="30133C49"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Justification (Cost vs. Performance)</w:t>
            </w:r>
          </w:p>
        </w:tc>
      </w:tr>
      <w:tr w:rsidR="00A2509C" w:rsidRPr="00A2509C" w14:paraId="0570C6C9" w14:textId="77777777" w:rsidTr="00A2509C">
        <w:tc>
          <w:tcPr>
            <w:tcW w:w="1555" w:type="dxa"/>
            <w:tcMar>
              <w:top w:w="150" w:type="dxa"/>
              <w:left w:w="0" w:type="dxa"/>
              <w:bottom w:w="150" w:type="dxa"/>
              <w:right w:w="240" w:type="dxa"/>
            </w:tcMar>
            <w:vAlign w:val="center"/>
            <w:hideMark/>
          </w:tcPr>
          <w:p w14:paraId="31A5532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Management</w:t>
            </w:r>
          </w:p>
        </w:tc>
        <w:tc>
          <w:tcPr>
            <w:tcW w:w="3543" w:type="dxa"/>
            <w:tcMar>
              <w:top w:w="150" w:type="dxa"/>
              <w:left w:w="240" w:type="dxa"/>
              <w:bottom w:w="150" w:type="dxa"/>
              <w:right w:w="240" w:type="dxa"/>
            </w:tcMar>
            <w:vAlign w:val="center"/>
            <w:hideMark/>
          </w:tcPr>
          <w:p w14:paraId="2E738E1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Jira + Xray (standard licence)</w:t>
            </w:r>
          </w:p>
        </w:tc>
        <w:tc>
          <w:tcPr>
            <w:tcW w:w="4262" w:type="dxa"/>
            <w:tcMar>
              <w:top w:w="150" w:type="dxa"/>
              <w:left w:w="240" w:type="dxa"/>
              <w:bottom w:w="150" w:type="dxa"/>
              <w:right w:w="0" w:type="dxa"/>
            </w:tcMar>
            <w:vAlign w:val="center"/>
            <w:hideMark/>
          </w:tcPr>
          <w:p w14:paraId="221E74B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Full traceability, automated test scheduling, and reporting. Moderate cost, high efficiency.</w:t>
            </w:r>
          </w:p>
        </w:tc>
      </w:tr>
      <w:tr w:rsidR="00A2509C" w:rsidRPr="00A2509C" w14:paraId="62703EFB" w14:textId="77777777" w:rsidTr="00A2509C">
        <w:tc>
          <w:tcPr>
            <w:tcW w:w="1555" w:type="dxa"/>
            <w:tcMar>
              <w:top w:w="150" w:type="dxa"/>
              <w:left w:w="0" w:type="dxa"/>
              <w:bottom w:w="150" w:type="dxa"/>
              <w:right w:w="240" w:type="dxa"/>
            </w:tcMar>
            <w:vAlign w:val="center"/>
            <w:hideMark/>
          </w:tcPr>
          <w:p w14:paraId="5286BDD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Defect Tracking</w:t>
            </w:r>
          </w:p>
        </w:tc>
        <w:tc>
          <w:tcPr>
            <w:tcW w:w="3543" w:type="dxa"/>
            <w:tcMar>
              <w:top w:w="150" w:type="dxa"/>
              <w:left w:w="240" w:type="dxa"/>
              <w:bottom w:w="150" w:type="dxa"/>
              <w:right w:w="240" w:type="dxa"/>
            </w:tcMar>
            <w:vAlign w:val="center"/>
            <w:hideMark/>
          </w:tcPr>
          <w:p w14:paraId="162EFE5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Jira (standard licence)</w:t>
            </w:r>
          </w:p>
        </w:tc>
        <w:tc>
          <w:tcPr>
            <w:tcW w:w="4262" w:type="dxa"/>
            <w:tcMar>
              <w:top w:w="150" w:type="dxa"/>
              <w:left w:w="240" w:type="dxa"/>
              <w:bottom w:w="150" w:type="dxa"/>
              <w:right w:w="0" w:type="dxa"/>
            </w:tcMar>
            <w:vAlign w:val="center"/>
            <w:hideMark/>
          </w:tcPr>
          <w:p w14:paraId="23DFF96B"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Enhanced workflow automation and AI integration for auto</w:t>
            </w:r>
            <w:r w:rsidRPr="00A2509C">
              <w:rPr>
                <w:rFonts w:ascii="宋体" w:eastAsia="宋体" w:hAnsi="宋体" w:cs="宋体"/>
                <w:color w:val="000000" w:themeColor="text1"/>
                <w:kern w:val="0"/>
                <w:sz w:val="24"/>
              </w:rPr>
              <w:noBreakHyphen/>
              <w:t>assignment.</w:t>
            </w:r>
          </w:p>
        </w:tc>
      </w:tr>
      <w:tr w:rsidR="00A2509C" w:rsidRPr="00A2509C" w14:paraId="07C08485" w14:textId="77777777" w:rsidTr="00A2509C">
        <w:tc>
          <w:tcPr>
            <w:tcW w:w="1555" w:type="dxa"/>
            <w:tcMar>
              <w:top w:w="150" w:type="dxa"/>
              <w:left w:w="0" w:type="dxa"/>
              <w:bottom w:w="150" w:type="dxa"/>
              <w:right w:w="240" w:type="dxa"/>
            </w:tcMar>
            <w:vAlign w:val="center"/>
            <w:hideMark/>
          </w:tcPr>
          <w:p w14:paraId="072D1D7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Configuration Management</w:t>
            </w:r>
          </w:p>
        </w:tc>
        <w:tc>
          <w:tcPr>
            <w:tcW w:w="3543" w:type="dxa"/>
            <w:tcMar>
              <w:top w:w="150" w:type="dxa"/>
              <w:left w:w="240" w:type="dxa"/>
              <w:bottom w:w="150" w:type="dxa"/>
              <w:right w:w="240" w:type="dxa"/>
            </w:tcMar>
            <w:vAlign w:val="center"/>
            <w:hideMark/>
          </w:tcPr>
          <w:p w14:paraId="68D048D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GitLab Ultimate</w:t>
            </w:r>
          </w:p>
        </w:tc>
        <w:tc>
          <w:tcPr>
            <w:tcW w:w="4262" w:type="dxa"/>
            <w:tcMar>
              <w:top w:w="150" w:type="dxa"/>
              <w:left w:w="240" w:type="dxa"/>
              <w:bottom w:w="150" w:type="dxa"/>
              <w:right w:w="0" w:type="dxa"/>
            </w:tcMar>
            <w:vAlign w:val="center"/>
            <w:hideMark/>
          </w:tcPr>
          <w:p w14:paraId="1987BF3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Built</w:t>
            </w:r>
            <w:r w:rsidRPr="00A2509C">
              <w:rPr>
                <w:rFonts w:ascii="宋体" w:eastAsia="宋体" w:hAnsi="宋体" w:cs="宋体"/>
                <w:color w:val="000000" w:themeColor="text1"/>
                <w:kern w:val="0"/>
                <w:sz w:val="24"/>
              </w:rPr>
              <w:noBreakHyphen/>
              <w:t>in CI/CD, pipeline as code, and environment versioning. Higher cost but reduces integration effort.</w:t>
            </w:r>
          </w:p>
        </w:tc>
      </w:tr>
      <w:tr w:rsidR="00A2509C" w:rsidRPr="00A2509C" w14:paraId="413C2479" w14:textId="77777777" w:rsidTr="00A2509C">
        <w:tc>
          <w:tcPr>
            <w:tcW w:w="1555" w:type="dxa"/>
            <w:tcMar>
              <w:top w:w="150" w:type="dxa"/>
              <w:left w:w="0" w:type="dxa"/>
              <w:bottom w:w="150" w:type="dxa"/>
              <w:right w:w="240" w:type="dxa"/>
            </w:tcMar>
            <w:vAlign w:val="center"/>
            <w:hideMark/>
          </w:tcPr>
          <w:p w14:paraId="7FA8915E"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Static Analysis</w:t>
            </w:r>
          </w:p>
        </w:tc>
        <w:tc>
          <w:tcPr>
            <w:tcW w:w="3543" w:type="dxa"/>
            <w:tcMar>
              <w:top w:w="150" w:type="dxa"/>
              <w:left w:w="240" w:type="dxa"/>
              <w:bottom w:w="150" w:type="dxa"/>
              <w:right w:w="240" w:type="dxa"/>
            </w:tcMar>
            <w:vAlign w:val="center"/>
            <w:hideMark/>
          </w:tcPr>
          <w:p w14:paraId="00DDC60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SonarQube Developer Edition</w:t>
            </w:r>
          </w:p>
        </w:tc>
        <w:tc>
          <w:tcPr>
            <w:tcW w:w="4262" w:type="dxa"/>
            <w:tcMar>
              <w:top w:w="150" w:type="dxa"/>
              <w:left w:w="240" w:type="dxa"/>
              <w:bottom w:w="150" w:type="dxa"/>
              <w:right w:w="0" w:type="dxa"/>
            </w:tcMar>
            <w:vAlign w:val="center"/>
            <w:hideMark/>
          </w:tcPr>
          <w:p w14:paraId="5703A0C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Advanced rules for C/C++, security hot spots, and quality gates.</w:t>
            </w:r>
          </w:p>
        </w:tc>
      </w:tr>
      <w:tr w:rsidR="00A2509C" w:rsidRPr="00A2509C" w14:paraId="35E37387" w14:textId="77777777" w:rsidTr="00A2509C">
        <w:tc>
          <w:tcPr>
            <w:tcW w:w="1555" w:type="dxa"/>
            <w:tcMar>
              <w:top w:w="150" w:type="dxa"/>
              <w:left w:w="0" w:type="dxa"/>
              <w:bottom w:w="150" w:type="dxa"/>
              <w:right w:w="240" w:type="dxa"/>
            </w:tcMar>
            <w:vAlign w:val="center"/>
            <w:hideMark/>
          </w:tcPr>
          <w:p w14:paraId="3B50190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Design</w:t>
            </w:r>
          </w:p>
        </w:tc>
        <w:tc>
          <w:tcPr>
            <w:tcW w:w="3543" w:type="dxa"/>
            <w:tcMar>
              <w:top w:w="150" w:type="dxa"/>
              <w:left w:w="240" w:type="dxa"/>
              <w:bottom w:w="150" w:type="dxa"/>
              <w:right w:w="240" w:type="dxa"/>
            </w:tcMar>
            <w:vAlign w:val="center"/>
            <w:hideMark/>
          </w:tcPr>
          <w:p w14:paraId="0ADC66E1"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Tricentis Tosca</w:t>
            </w:r>
            <w:r w:rsidRPr="00A2509C">
              <w:rPr>
                <w:rFonts w:ascii="宋体" w:eastAsia="宋体" w:hAnsi="宋体" w:cs="宋体"/>
                <w:color w:val="000000" w:themeColor="text1"/>
                <w:kern w:val="0"/>
                <w:sz w:val="24"/>
              </w:rPr>
              <w:t> (or </w:t>
            </w:r>
            <w:r w:rsidRPr="00A2509C">
              <w:rPr>
                <w:rFonts w:ascii="宋体" w:eastAsia="宋体" w:hAnsi="宋体" w:cs="宋体"/>
                <w:b/>
                <w:bCs/>
                <w:color w:val="000000" w:themeColor="text1"/>
                <w:kern w:val="0"/>
                <w:sz w:val="24"/>
              </w:rPr>
              <w:t>TestCraft</w:t>
            </w:r>
            <w:r w:rsidRPr="00A2509C">
              <w:rPr>
                <w:rFonts w:ascii="宋体" w:eastAsia="宋体" w:hAnsi="宋体" w:cs="宋体"/>
                <w:color w:val="000000" w:themeColor="text1"/>
                <w:kern w:val="0"/>
                <w:sz w:val="24"/>
              </w:rPr>
              <w:t> AI)</w:t>
            </w:r>
          </w:p>
        </w:tc>
        <w:tc>
          <w:tcPr>
            <w:tcW w:w="4262" w:type="dxa"/>
            <w:tcMar>
              <w:top w:w="150" w:type="dxa"/>
              <w:left w:w="240" w:type="dxa"/>
              <w:bottom w:w="150" w:type="dxa"/>
              <w:right w:w="0" w:type="dxa"/>
            </w:tcMar>
            <w:vAlign w:val="center"/>
            <w:hideMark/>
          </w:tcPr>
          <w:p w14:paraId="4463709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AI</w:t>
            </w:r>
            <w:r w:rsidRPr="00A2509C">
              <w:rPr>
                <w:rFonts w:ascii="宋体" w:eastAsia="宋体" w:hAnsi="宋体" w:cs="宋体"/>
                <w:color w:val="000000" w:themeColor="text1"/>
                <w:kern w:val="0"/>
                <w:sz w:val="24"/>
              </w:rPr>
              <w:noBreakHyphen/>
              <w:t>powered test generation from MRD; reduces test design time by 60%.</w:t>
            </w:r>
          </w:p>
        </w:tc>
      </w:tr>
      <w:tr w:rsidR="00A2509C" w:rsidRPr="00A2509C" w14:paraId="0EEC628E" w14:textId="77777777" w:rsidTr="00A2509C">
        <w:tc>
          <w:tcPr>
            <w:tcW w:w="1555" w:type="dxa"/>
            <w:tcMar>
              <w:top w:w="150" w:type="dxa"/>
              <w:left w:w="0" w:type="dxa"/>
              <w:bottom w:w="150" w:type="dxa"/>
              <w:right w:w="240" w:type="dxa"/>
            </w:tcMar>
            <w:vAlign w:val="center"/>
            <w:hideMark/>
          </w:tcPr>
          <w:p w14:paraId="71D3C2A1"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Data</w:t>
            </w:r>
          </w:p>
        </w:tc>
        <w:tc>
          <w:tcPr>
            <w:tcW w:w="3543" w:type="dxa"/>
            <w:tcMar>
              <w:top w:w="150" w:type="dxa"/>
              <w:left w:w="240" w:type="dxa"/>
              <w:bottom w:w="150" w:type="dxa"/>
              <w:right w:w="240" w:type="dxa"/>
            </w:tcMar>
            <w:vAlign w:val="center"/>
            <w:hideMark/>
          </w:tcPr>
          <w:p w14:paraId="63DE8A5B"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Delphix</w:t>
            </w:r>
            <w:r w:rsidRPr="00A2509C">
              <w:rPr>
                <w:rFonts w:ascii="宋体" w:eastAsia="宋体" w:hAnsi="宋体" w:cs="宋体"/>
                <w:color w:val="000000" w:themeColor="text1"/>
                <w:kern w:val="0"/>
                <w:sz w:val="24"/>
              </w:rPr>
              <w:t> (or </w:t>
            </w:r>
            <w:r w:rsidRPr="00A2509C">
              <w:rPr>
                <w:rFonts w:ascii="宋体" w:eastAsia="宋体" w:hAnsi="宋体" w:cs="宋体"/>
                <w:b/>
                <w:bCs/>
                <w:color w:val="000000" w:themeColor="text1"/>
                <w:kern w:val="0"/>
                <w:sz w:val="24"/>
              </w:rPr>
              <w:t>GenRocket</w:t>
            </w:r>
            <w:r w:rsidRPr="00A2509C">
              <w:rPr>
                <w:rFonts w:ascii="宋体" w:eastAsia="宋体" w:hAnsi="宋体" w:cs="宋体"/>
                <w:color w:val="000000" w:themeColor="text1"/>
                <w:kern w:val="0"/>
                <w:sz w:val="24"/>
              </w:rPr>
              <w:t>)</w:t>
            </w:r>
          </w:p>
        </w:tc>
        <w:tc>
          <w:tcPr>
            <w:tcW w:w="4262" w:type="dxa"/>
            <w:tcMar>
              <w:top w:w="150" w:type="dxa"/>
              <w:left w:w="240" w:type="dxa"/>
              <w:bottom w:w="150" w:type="dxa"/>
              <w:right w:w="0" w:type="dxa"/>
            </w:tcMar>
            <w:vAlign w:val="center"/>
            <w:hideMark/>
          </w:tcPr>
          <w:p w14:paraId="6B6EA63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Fast creation of anonymised production</w:t>
            </w:r>
            <w:r w:rsidRPr="00A2509C">
              <w:rPr>
                <w:rFonts w:ascii="宋体" w:eastAsia="宋体" w:hAnsi="宋体" w:cs="宋体"/>
                <w:color w:val="000000" w:themeColor="text1"/>
                <w:kern w:val="0"/>
                <w:sz w:val="24"/>
              </w:rPr>
              <w:noBreakHyphen/>
              <w:t>scale data (10,000 users, payment logs).</w:t>
            </w:r>
          </w:p>
        </w:tc>
      </w:tr>
      <w:tr w:rsidR="00A2509C" w:rsidRPr="00A2509C" w14:paraId="2CEF94C4" w14:textId="77777777" w:rsidTr="00A2509C">
        <w:tc>
          <w:tcPr>
            <w:tcW w:w="1555" w:type="dxa"/>
            <w:tcMar>
              <w:top w:w="150" w:type="dxa"/>
              <w:left w:w="0" w:type="dxa"/>
              <w:bottom w:w="150" w:type="dxa"/>
              <w:right w:w="240" w:type="dxa"/>
            </w:tcMar>
            <w:vAlign w:val="center"/>
            <w:hideMark/>
          </w:tcPr>
          <w:p w14:paraId="1D8DA6B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Test Execution</w:t>
            </w:r>
          </w:p>
        </w:tc>
        <w:tc>
          <w:tcPr>
            <w:tcW w:w="3543" w:type="dxa"/>
            <w:tcMar>
              <w:top w:w="150" w:type="dxa"/>
              <w:left w:w="240" w:type="dxa"/>
              <w:bottom w:w="150" w:type="dxa"/>
              <w:right w:w="240" w:type="dxa"/>
            </w:tcMar>
            <w:vAlign w:val="center"/>
            <w:hideMark/>
          </w:tcPr>
          <w:p w14:paraId="5E42B9F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Selenium Grid</w:t>
            </w:r>
            <w:r w:rsidRPr="00A2509C">
              <w:rPr>
                <w:rFonts w:ascii="宋体" w:eastAsia="宋体" w:hAnsi="宋体" w:cs="宋体"/>
                <w:color w:val="000000" w:themeColor="text1"/>
                <w:kern w:val="0"/>
                <w:sz w:val="24"/>
              </w:rPr>
              <w:t> + </w:t>
            </w:r>
            <w:r w:rsidRPr="00A2509C">
              <w:rPr>
                <w:rFonts w:ascii="宋体" w:eastAsia="宋体" w:hAnsi="宋体" w:cs="宋体"/>
                <w:b/>
                <w:bCs/>
                <w:color w:val="000000" w:themeColor="text1"/>
                <w:kern w:val="0"/>
                <w:sz w:val="24"/>
              </w:rPr>
              <w:t>Postman Pro</w:t>
            </w:r>
          </w:p>
        </w:tc>
        <w:tc>
          <w:tcPr>
            <w:tcW w:w="4262" w:type="dxa"/>
            <w:tcMar>
              <w:top w:w="150" w:type="dxa"/>
              <w:left w:w="240" w:type="dxa"/>
              <w:bottom w:w="150" w:type="dxa"/>
              <w:right w:w="0" w:type="dxa"/>
            </w:tcMar>
            <w:vAlign w:val="center"/>
            <w:hideMark/>
          </w:tcPr>
          <w:p w14:paraId="40E504A2"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Parallel execution across 50+ kiosk emulators; API test orchestration.</w:t>
            </w:r>
          </w:p>
        </w:tc>
      </w:tr>
      <w:tr w:rsidR="00A2509C" w:rsidRPr="00A2509C" w14:paraId="4200C192" w14:textId="77777777" w:rsidTr="00A2509C">
        <w:tc>
          <w:tcPr>
            <w:tcW w:w="1555" w:type="dxa"/>
            <w:tcMar>
              <w:top w:w="150" w:type="dxa"/>
              <w:left w:w="0" w:type="dxa"/>
              <w:bottom w:w="150" w:type="dxa"/>
              <w:right w:w="240" w:type="dxa"/>
            </w:tcMar>
            <w:vAlign w:val="center"/>
            <w:hideMark/>
          </w:tcPr>
          <w:p w14:paraId="7E2AFBD7"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lastRenderedPageBreak/>
              <w:t>Test Frameworks</w:t>
            </w:r>
          </w:p>
        </w:tc>
        <w:tc>
          <w:tcPr>
            <w:tcW w:w="3543" w:type="dxa"/>
            <w:tcMar>
              <w:top w:w="150" w:type="dxa"/>
              <w:left w:w="240" w:type="dxa"/>
              <w:bottom w:w="150" w:type="dxa"/>
              <w:right w:w="240" w:type="dxa"/>
            </w:tcMar>
            <w:vAlign w:val="center"/>
            <w:hideMark/>
          </w:tcPr>
          <w:p w14:paraId="520C62B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WireMock</w:t>
            </w:r>
            <w:r w:rsidRPr="00A2509C">
              <w:rPr>
                <w:rFonts w:ascii="宋体" w:eastAsia="宋体" w:hAnsi="宋体" w:cs="宋体"/>
                <w:color w:val="000000" w:themeColor="text1"/>
                <w:kern w:val="0"/>
                <w:sz w:val="24"/>
              </w:rPr>
              <w:t> + </w:t>
            </w:r>
            <w:r w:rsidRPr="00A2509C">
              <w:rPr>
                <w:rFonts w:ascii="宋体" w:eastAsia="宋体" w:hAnsi="宋体" w:cs="宋体"/>
                <w:b/>
                <w:bCs/>
                <w:color w:val="000000" w:themeColor="text1"/>
                <w:kern w:val="0"/>
                <w:sz w:val="24"/>
              </w:rPr>
              <w:t>JUnit</w:t>
            </w:r>
            <w:r w:rsidRPr="00A2509C">
              <w:rPr>
                <w:rFonts w:ascii="宋体" w:eastAsia="宋体" w:hAnsi="宋体" w:cs="宋体"/>
                <w:color w:val="000000" w:themeColor="text1"/>
                <w:kern w:val="0"/>
                <w:sz w:val="24"/>
              </w:rPr>
              <w:t> + </w:t>
            </w:r>
            <w:r w:rsidRPr="00A2509C">
              <w:rPr>
                <w:rFonts w:ascii="宋体" w:eastAsia="宋体" w:hAnsi="宋体" w:cs="宋体"/>
                <w:b/>
                <w:bCs/>
                <w:color w:val="000000" w:themeColor="text1"/>
                <w:kern w:val="0"/>
                <w:sz w:val="24"/>
              </w:rPr>
              <w:t>Testcontainers</w:t>
            </w:r>
          </w:p>
        </w:tc>
        <w:tc>
          <w:tcPr>
            <w:tcW w:w="4262" w:type="dxa"/>
            <w:tcMar>
              <w:top w:w="150" w:type="dxa"/>
              <w:left w:w="240" w:type="dxa"/>
              <w:bottom w:w="150" w:type="dxa"/>
              <w:right w:w="0" w:type="dxa"/>
            </w:tcMar>
            <w:vAlign w:val="center"/>
            <w:hideMark/>
          </w:tcPr>
          <w:p w14:paraId="4034BB4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Simulate third</w:t>
            </w:r>
            <w:r w:rsidRPr="00A2509C">
              <w:rPr>
                <w:rFonts w:ascii="宋体" w:eastAsia="宋体" w:hAnsi="宋体" w:cs="宋体"/>
                <w:color w:val="000000" w:themeColor="text1"/>
                <w:kern w:val="0"/>
                <w:sz w:val="24"/>
              </w:rPr>
              <w:noBreakHyphen/>
              <w:t>party APIs (payment, content filtering) with high fidelity.</w:t>
            </w:r>
          </w:p>
        </w:tc>
      </w:tr>
      <w:tr w:rsidR="00A2509C" w:rsidRPr="00A2509C" w14:paraId="0F12859E" w14:textId="77777777" w:rsidTr="00A2509C">
        <w:tc>
          <w:tcPr>
            <w:tcW w:w="1555" w:type="dxa"/>
            <w:tcMar>
              <w:top w:w="150" w:type="dxa"/>
              <w:left w:w="0" w:type="dxa"/>
              <w:bottom w:w="150" w:type="dxa"/>
              <w:right w:w="240" w:type="dxa"/>
            </w:tcMar>
            <w:vAlign w:val="center"/>
            <w:hideMark/>
          </w:tcPr>
          <w:p w14:paraId="320EDBC7"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Coverage Measurement</w:t>
            </w:r>
          </w:p>
        </w:tc>
        <w:tc>
          <w:tcPr>
            <w:tcW w:w="3543" w:type="dxa"/>
            <w:tcMar>
              <w:top w:w="150" w:type="dxa"/>
              <w:left w:w="240" w:type="dxa"/>
              <w:bottom w:w="150" w:type="dxa"/>
              <w:right w:w="240" w:type="dxa"/>
            </w:tcMar>
            <w:vAlign w:val="center"/>
            <w:hideMark/>
          </w:tcPr>
          <w:p w14:paraId="7F121DAF"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JaCoCo + SonarQube integration</w:t>
            </w:r>
          </w:p>
        </w:tc>
        <w:tc>
          <w:tcPr>
            <w:tcW w:w="4262" w:type="dxa"/>
            <w:tcMar>
              <w:top w:w="150" w:type="dxa"/>
              <w:left w:w="240" w:type="dxa"/>
              <w:bottom w:w="150" w:type="dxa"/>
              <w:right w:w="0" w:type="dxa"/>
            </w:tcMar>
            <w:vAlign w:val="center"/>
            <w:hideMark/>
          </w:tcPr>
          <w:p w14:paraId="7509ABD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Code coverage dashboard linked to quality gates.</w:t>
            </w:r>
          </w:p>
        </w:tc>
      </w:tr>
      <w:tr w:rsidR="00A2509C" w:rsidRPr="00A2509C" w14:paraId="4C629970" w14:textId="77777777" w:rsidTr="00A2509C">
        <w:tc>
          <w:tcPr>
            <w:tcW w:w="1555" w:type="dxa"/>
            <w:tcMar>
              <w:top w:w="150" w:type="dxa"/>
              <w:left w:w="0" w:type="dxa"/>
              <w:bottom w:w="150" w:type="dxa"/>
              <w:right w:w="240" w:type="dxa"/>
            </w:tcMar>
            <w:vAlign w:val="center"/>
            <w:hideMark/>
          </w:tcPr>
          <w:p w14:paraId="549CB38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Security Tools</w:t>
            </w:r>
          </w:p>
        </w:tc>
        <w:tc>
          <w:tcPr>
            <w:tcW w:w="3543" w:type="dxa"/>
            <w:tcMar>
              <w:top w:w="150" w:type="dxa"/>
              <w:left w:w="240" w:type="dxa"/>
              <w:bottom w:w="150" w:type="dxa"/>
              <w:right w:w="240" w:type="dxa"/>
            </w:tcMar>
            <w:vAlign w:val="center"/>
            <w:hideMark/>
          </w:tcPr>
          <w:p w14:paraId="1A9FED34"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Burp Suite Professional</w:t>
            </w:r>
            <w:r w:rsidRPr="00A2509C">
              <w:rPr>
                <w:rFonts w:ascii="宋体" w:eastAsia="宋体" w:hAnsi="宋体" w:cs="宋体"/>
                <w:color w:val="000000" w:themeColor="text1"/>
                <w:kern w:val="0"/>
                <w:sz w:val="24"/>
              </w:rPr>
              <w:t> + </w:t>
            </w:r>
            <w:r w:rsidRPr="00A2509C">
              <w:rPr>
                <w:rFonts w:ascii="宋体" w:eastAsia="宋体" w:hAnsi="宋体" w:cs="宋体"/>
                <w:b/>
                <w:bCs/>
                <w:color w:val="000000" w:themeColor="text1"/>
                <w:kern w:val="0"/>
                <w:sz w:val="24"/>
              </w:rPr>
              <w:t>Snyk</w:t>
            </w:r>
          </w:p>
        </w:tc>
        <w:tc>
          <w:tcPr>
            <w:tcW w:w="4262" w:type="dxa"/>
            <w:tcMar>
              <w:top w:w="150" w:type="dxa"/>
              <w:left w:w="240" w:type="dxa"/>
              <w:bottom w:w="150" w:type="dxa"/>
              <w:right w:w="0" w:type="dxa"/>
            </w:tcMar>
            <w:vAlign w:val="center"/>
            <w:hideMark/>
          </w:tcPr>
          <w:p w14:paraId="045BAF5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Deep penetration testing and dependency scanning for container images.</w:t>
            </w:r>
          </w:p>
        </w:tc>
      </w:tr>
      <w:tr w:rsidR="00A2509C" w:rsidRPr="00A2509C" w14:paraId="6907C116" w14:textId="77777777" w:rsidTr="00A2509C">
        <w:tc>
          <w:tcPr>
            <w:tcW w:w="1555" w:type="dxa"/>
            <w:tcMar>
              <w:top w:w="150" w:type="dxa"/>
              <w:left w:w="0" w:type="dxa"/>
              <w:bottom w:w="150" w:type="dxa"/>
              <w:right w:w="240" w:type="dxa"/>
            </w:tcMar>
            <w:vAlign w:val="center"/>
            <w:hideMark/>
          </w:tcPr>
          <w:p w14:paraId="7DA528B0"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Performance Tools</w:t>
            </w:r>
          </w:p>
        </w:tc>
        <w:tc>
          <w:tcPr>
            <w:tcW w:w="3543" w:type="dxa"/>
            <w:tcMar>
              <w:top w:w="150" w:type="dxa"/>
              <w:left w:w="240" w:type="dxa"/>
              <w:bottom w:w="150" w:type="dxa"/>
              <w:right w:w="240" w:type="dxa"/>
            </w:tcMar>
            <w:vAlign w:val="center"/>
            <w:hideMark/>
          </w:tcPr>
          <w:p w14:paraId="4416E152"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JMeter + BlazeMeter (cloud)</w:t>
            </w:r>
          </w:p>
        </w:tc>
        <w:tc>
          <w:tcPr>
            <w:tcW w:w="4262" w:type="dxa"/>
            <w:tcMar>
              <w:top w:w="150" w:type="dxa"/>
              <w:left w:w="240" w:type="dxa"/>
              <w:bottom w:w="150" w:type="dxa"/>
              <w:right w:w="0" w:type="dxa"/>
            </w:tcMar>
            <w:vAlign w:val="center"/>
            <w:hideMark/>
          </w:tcPr>
          <w:p w14:paraId="3CCEEA8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Scale to 10,000 concurrent kiosks with geographically distributed load generators.</w:t>
            </w:r>
          </w:p>
        </w:tc>
      </w:tr>
      <w:tr w:rsidR="00A2509C" w:rsidRPr="00A2509C" w14:paraId="7900A5B4" w14:textId="77777777" w:rsidTr="00A2509C">
        <w:tc>
          <w:tcPr>
            <w:tcW w:w="1555" w:type="dxa"/>
            <w:tcMar>
              <w:top w:w="150" w:type="dxa"/>
              <w:left w:w="0" w:type="dxa"/>
              <w:bottom w:w="150" w:type="dxa"/>
              <w:right w:w="240" w:type="dxa"/>
            </w:tcMar>
            <w:vAlign w:val="center"/>
            <w:hideMark/>
          </w:tcPr>
          <w:p w14:paraId="698761D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Review Support</w:t>
            </w:r>
          </w:p>
        </w:tc>
        <w:tc>
          <w:tcPr>
            <w:tcW w:w="3543" w:type="dxa"/>
            <w:tcMar>
              <w:top w:w="150" w:type="dxa"/>
              <w:left w:w="240" w:type="dxa"/>
              <w:bottom w:w="150" w:type="dxa"/>
              <w:right w:w="240" w:type="dxa"/>
            </w:tcMar>
            <w:vAlign w:val="center"/>
            <w:hideMark/>
          </w:tcPr>
          <w:p w14:paraId="09C1C183"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Crucible</w:t>
            </w:r>
            <w:r w:rsidRPr="00A2509C">
              <w:rPr>
                <w:rFonts w:ascii="宋体" w:eastAsia="宋体" w:hAnsi="宋体" w:cs="宋体"/>
                <w:color w:val="000000" w:themeColor="text1"/>
                <w:kern w:val="0"/>
                <w:sz w:val="24"/>
              </w:rPr>
              <w:t> or </w:t>
            </w:r>
            <w:r w:rsidRPr="00A2509C">
              <w:rPr>
                <w:rFonts w:ascii="宋体" w:eastAsia="宋体" w:hAnsi="宋体" w:cs="宋体"/>
                <w:b/>
                <w:bCs/>
                <w:color w:val="000000" w:themeColor="text1"/>
                <w:kern w:val="0"/>
                <w:sz w:val="24"/>
              </w:rPr>
              <w:t>Review Board (enterprise)</w:t>
            </w:r>
          </w:p>
        </w:tc>
        <w:tc>
          <w:tcPr>
            <w:tcW w:w="4262" w:type="dxa"/>
            <w:tcMar>
              <w:top w:w="150" w:type="dxa"/>
              <w:left w:w="240" w:type="dxa"/>
              <w:bottom w:w="150" w:type="dxa"/>
              <w:right w:w="0" w:type="dxa"/>
            </w:tcMar>
            <w:vAlign w:val="center"/>
            <w:hideMark/>
          </w:tcPr>
          <w:p w14:paraId="692985D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Formal review process with traceability to defects.</w:t>
            </w:r>
          </w:p>
        </w:tc>
      </w:tr>
      <w:tr w:rsidR="00A2509C" w:rsidRPr="00A2509C" w14:paraId="18C873F0" w14:textId="77777777" w:rsidTr="00A2509C">
        <w:tc>
          <w:tcPr>
            <w:tcW w:w="1555" w:type="dxa"/>
            <w:tcMar>
              <w:top w:w="150" w:type="dxa"/>
              <w:left w:w="0" w:type="dxa"/>
              <w:bottom w:w="150" w:type="dxa"/>
              <w:right w:w="240" w:type="dxa"/>
            </w:tcMar>
            <w:vAlign w:val="center"/>
            <w:hideMark/>
          </w:tcPr>
          <w:p w14:paraId="28E1DC5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Additional – AI model testing</w:t>
            </w:r>
          </w:p>
        </w:tc>
        <w:tc>
          <w:tcPr>
            <w:tcW w:w="3543" w:type="dxa"/>
            <w:tcMar>
              <w:top w:w="150" w:type="dxa"/>
              <w:left w:w="240" w:type="dxa"/>
              <w:bottom w:w="150" w:type="dxa"/>
              <w:right w:w="240" w:type="dxa"/>
            </w:tcMar>
            <w:vAlign w:val="center"/>
            <w:hideMark/>
          </w:tcPr>
          <w:p w14:paraId="7BCF738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DeepChecks</w:t>
            </w:r>
            <w:r w:rsidRPr="00A2509C">
              <w:rPr>
                <w:rFonts w:ascii="宋体" w:eastAsia="宋体" w:hAnsi="宋体" w:cs="宋体"/>
                <w:color w:val="000000" w:themeColor="text1"/>
                <w:kern w:val="0"/>
                <w:sz w:val="24"/>
              </w:rPr>
              <w:t> + </w:t>
            </w:r>
            <w:r w:rsidRPr="00A2509C">
              <w:rPr>
                <w:rFonts w:ascii="宋体" w:eastAsia="宋体" w:hAnsi="宋体" w:cs="宋体"/>
                <w:b/>
                <w:bCs/>
                <w:color w:val="000000" w:themeColor="text1"/>
                <w:kern w:val="0"/>
                <w:sz w:val="24"/>
              </w:rPr>
              <w:t>IBM ART</w:t>
            </w:r>
          </w:p>
        </w:tc>
        <w:tc>
          <w:tcPr>
            <w:tcW w:w="4262" w:type="dxa"/>
            <w:tcMar>
              <w:top w:w="150" w:type="dxa"/>
              <w:left w:w="240" w:type="dxa"/>
              <w:bottom w:w="150" w:type="dxa"/>
              <w:right w:w="0" w:type="dxa"/>
            </w:tcMar>
            <w:vAlign w:val="center"/>
            <w:hideMark/>
          </w:tcPr>
          <w:p w14:paraId="60903ED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Validate fairness, robustness, and drift of content filtering AI.</w:t>
            </w:r>
          </w:p>
        </w:tc>
      </w:tr>
    </w:tbl>
    <w:p w14:paraId="5D1474E2" w14:textId="77777777" w:rsidR="00A2509C" w:rsidRPr="00A2509C" w:rsidRDefault="00A2509C" w:rsidP="00A2509C">
      <w:pPr>
        <w:widowControl/>
        <w:shd w:val="clear" w:color="auto" w:fill="FFFFFF"/>
        <w:spacing w:before="240" w:after="240"/>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Estimated total tool cost per year</w:t>
      </w:r>
      <w:r w:rsidRPr="00A2509C">
        <w:rPr>
          <w:rFonts w:ascii="Segoe UI" w:eastAsia="宋体" w:hAnsi="Segoe UI" w:cs="Segoe UI"/>
          <w:color w:val="000000" w:themeColor="text1"/>
          <w:kern w:val="0"/>
          <w:szCs w:val="21"/>
        </w:rPr>
        <w:t> – </w:t>
      </w:r>
      <m:oMath>
        <m:r>
          <w:rPr>
            <w:rFonts w:ascii="Cambria Math" w:eastAsia="宋体" w:hAnsi="Cambria Math" w:cs="宋体"/>
            <w:color w:val="000000" w:themeColor="text1"/>
            <w:kern w:val="0"/>
            <w:sz w:val="24"/>
          </w:rPr>
          <m:t>50,000</m:t>
        </m:r>
        <m:r>
          <m:rPr>
            <m:nor/>
          </m:rPr>
          <w:rPr>
            <w:rFonts w:ascii="宋体" w:eastAsia="宋体" w:hAnsi="宋体" w:cs="宋体"/>
            <w:color w:val="000000" w:themeColor="text1"/>
            <w:kern w:val="0"/>
            <w:sz w:val="24"/>
          </w:rPr>
          <m:t>–</m:t>
        </m:r>
      </m:oMath>
      <w:r w:rsidRPr="00A2509C">
        <w:rPr>
          <w:rFonts w:ascii="Segoe UI" w:eastAsia="宋体" w:hAnsi="Segoe UI" w:cs="Segoe UI"/>
          <w:color w:val="000000" w:themeColor="text1"/>
          <w:kern w:val="0"/>
          <w:szCs w:val="21"/>
        </w:rPr>
        <w:t>80,000 (commercial licences for Xray, Tosca, Delphix, Burp, BlazeMeter, Snyk, etc.).</w:t>
      </w:r>
      <w:r w:rsidRPr="00A2509C">
        <w:rPr>
          <w:rFonts w:ascii="Segoe UI" w:eastAsia="宋体" w:hAnsi="Segoe UI" w:cs="Segoe UI"/>
          <w:color w:val="000000" w:themeColor="text1"/>
          <w:kern w:val="0"/>
          <w:szCs w:val="21"/>
        </w:rPr>
        <w:br/>
      </w:r>
      <w:r w:rsidRPr="00A2509C">
        <w:rPr>
          <w:rFonts w:ascii="Segoe UI" w:eastAsia="宋体" w:hAnsi="Segoe UI" w:cs="Segoe UI"/>
          <w:b/>
          <w:bCs/>
          <w:color w:val="000000" w:themeColor="text1"/>
          <w:kern w:val="0"/>
          <w:szCs w:val="21"/>
        </w:rPr>
        <w:t>Performance benefit</w:t>
      </w:r>
      <w:r w:rsidRPr="00A2509C">
        <w:rPr>
          <w:rFonts w:ascii="Segoe UI" w:eastAsia="宋体" w:hAnsi="Segoe UI" w:cs="Segoe UI"/>
          <w:color w:val="000000" w:themeColor="text1"/>
          <w:kern w:val="0"/>
          <w:szCs w:val="21"/>
        </w:rPr>
        <w:t> – Regression test execution time &lt; 15 minutes (vs. 2 hours with free tools). Defect detection rate increased by 40%. Supports full scale (10,000 kiosks) from sprint 1. Payback period ~6 months due to faster time</w:t>
      </w:r>
      <w:r w:rsidRPr="00A2509C">
        <w:rPr>
          <w:rFonts w:ascii="Segoe UI" w:eastAsia="宋体" w:hAnsi="Segoe UI" w:cs="Segoe UI"/>
          <w:color w:val="000000" w:themeColor="text1"/>
          <w:kern w:val="0"/>
          <w:szCs w:val="21"/>
        </w:rPr>
        <w:noBreakHyphen/>
        <w:t>to</w:t>
      </w:r>
      <w:r w:rsidRPr="00A2509C">
        <w:rPr>
          <w:rFonts w:ascii="Segoe UI" w:eastAsia="宋体" w:hAnsi="Segoe UI" w:cs="Segoe UI"/>
          <w:color w:val="000000" w:themeColor="text1"/>
          <w:kern w:val="0"/>
          <w:szCs w:val="21"/>
        </w:rPr>
        <w:noBreakHyphen/>
        <w:t>market.</w:t>
      </w:r>
    </w:p>
    <w:p w14:paraId="74D4F2DE" w14:textId="77777777" w:rsidR="00A2509C" w:rsidRPr="00A2509C" w:rsidRDefault="008A373F" w:rsidP="00A2509C">
      <w:pPr>
        <w:widowControl/>
        <w:shd w:val="clear" w:color="auto" w:fill="FFFFFF"/>
        <w:spacing w:before="480" w:after="480"/>
        <w:jc w:val="left"/>
        <w:rPr>
          <w:rFonts w:ascii="Segoe UI" w:eastAsia="宋体" w:hAnsi="Segoe UI" w:cs="Segoe UI"/>
          <w:color w:val="000000" w:themeColor="text1"/>
          <w:kern w:val="0"/>
          <w:szCs w:val="21"/>
        </w:rPr>
      </w:pPr>
      <w:r w:rsidRPr="008A373F">
        <w:rPr>
          <w:rFonts w:ascii="Segoe UI" w:eastAsia="宋体" w:hAnsi="Segoe UI" w:cs="Segoe UI"/>
          <w:noProof/>
          <w:color w:val="000000" w:themeColor="text1"/>
          <w:kern w:val="0"/>
          <w:szCs w:val="21"/>
        </w:rPr>
        <w:pict w14:anchorId="2B16E49D">
          <v:rect id="_x0000_i1025" alt="" style="width:414.9pt;height:.05pt;mso-width-percent:0;mso-height-percent:0;mso-width-percent:0;mso-height-percent:0" o:hrpct="999" o:hralign="center" o:hrstd="t" o:hr="t" fillcolor="#a0a0a0" stroked="f"/>
        </w:pict>
      </w:r>
    </w:p>
    <w:p w14:paraId="2CC00A9D" w14:textId="77777777" w:rsidR="00A2509C" w:rsidRDefault="00A2509C" w:rsidP="00A2509C">
      <w:pPr>
        <w:widowControl/>
        <w:shd w:val="clear" w:color="auto" w:fill="FFFFFF"/>
        <w:spacing w:before="480" w:after="240"/>
        <w:jc w:val="left"/>
        <w:outlineLvl w:val="1"/>
        <w:rPr>
          <w:rFonts w:ascii="Segoe UI" w:eastAsia="宋体" w:hAnsi="Segoe UI" w:cs="Segoe UI"/>
          <w:b/>
          <w:bCs/>
          <w:color w:val="000000" w:themeColor="text1"/>
          <w:kern w:val="0"/>
          <w:sz w:val="36"/>
          <w:szCs w:val="36"/>
        </w:rPr>
      </w:pPr>
    </w:p>
    <w:p w14:paraId="3C8A4BA9" w14:textId="77777777" w:rsidR="00A2509C" w:rsidRDefault="00A2509C" w:rsidP="00A2509C">
      <w:pPr>
        <w:widowControl/>
        <w:shd w:val="clear" w:color="auto" w:fill="FFFFFF"/>
        <w:spacing w:before="480" w:after="240"/>
        <w:jc w:val="left"/>
        <w:outlineLvl w:val="1"/>
        <w:rPr>
          <w:rFonts w:ascii="Segoe UI" w:eastAsia="宋体" w:hAnsi="Segoe UI" w:cs="Segoe UI"/>
          <w:b/>
          <w:bCs/>
          <w:color w:val="000000" w:themeColor="text1"/>
          <w:kern w:val="0"/>
          <w:sz w:val="36"/>
          <w:szCs w:val="36"/>
        </w:rPr>
      </w:pPr>
    </w:p>
    <w:p w14:paraId="287616A7" w14:textId="5E63FA68" w:rsidR="00A2509C" w:rsidRPr="00A2509C" w:rsidRDefault="00A2509C" w:rsidP="00A2509C">
      <w:pPr>
        <w:widowControl/>
        <w:shd w:val="clear" w:color="auto" w:fill="FFFFFF"/>
        <w:spacing w:before="480" w:after="240"/>
        <w:jc w:val="left"/>
        <w:outlineLvl w:val="1"/>
        <w:rPr>
          <w:rFonts w:ascii="Segoe UI" w:eastAsia="宋体" w:hAnsi="Segoe UI" w:cs="Segoe UI"/>
          <w:b/>
          <w:bCs/>
          <w:color w:val="000000" w:themeColor="text1"/>
          <w:kern w:val="0"/>
          <w:sz w:val="36"/>
          <w:szCs w:val="36"/>
        </w:rPr>
      </w:pPr>
      <w:r w:rsidRPr="00A2509C">
        <w:rPr>
          <w:rFonts w:ascii="Segoe UI" w:eastAsia="宋体" w:hAnsi="Segoe UI" w:cs="Segoe UI"/>
          <w:b/>
          <w:bCs/>
          <w:color w:val="000000" w:themeColor="text1"/>
          <w:kern w:val="0"/>
          <w:sz w:val="36"/>
          <w:szCs w:val="36"/>
        </w:rPr>
        <w:lastRenderedPageBreak/>
        <w:t>Summary Table – Both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3188"/>
        <w:gridCol w:w="3672"/>
      </w:tblGrid>
      <w:tr w:rsidR="00A2509C" w:rsidRPr="00A2509C" w14:paraId="10FA8891" w14:textId="77777777" w:rsidTr="00A2509C">
        <w:trPr>
          <w:tblHeader/>
        </w:trPr>
        <w:tc>
          <w:tcPr>
            <w:tcW w:w="0" w:type="auto"/>
            <w:tcMar>
              <w:top w:w="150" w:type="dxa"/>
              <w:left w:w="0" w:type="dxa"/>
              <w:bottom w:w="150" w:type="dxa"/>
              <w:right w:w="240" w:type="dxa"/>
            </w:tcMar>
            <w:vAlign w:val="center"/>
            <w:hideMark/>
          </w:tcPr>
          <w:p w14:paraId="554FBCA3"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Criteria</w:t>
            </w:r>
          </w:p>
        </w:tc>
        <w:tc>
          <w:tcPr>
            <w:tcW w:w="0" w:type="auto"/>
            <w:tcMar>
              <w:top w:w="150" w:type="dxa"/>
              <w:left w:w="240" w:type="dxa"/>
              <w:bottom w:w="150" w:type="dxa"/>
              <w:right w:w="240" w:type="dxa"/>
            </w:tcMar>
            <w:vAlign w:val="center"/>
            <w:hideMark/>
          </w:tcPr>
          <w:p w14:paraId="6F04AD5A"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Solution 1 (Min Cost / Max ROI)</w:t>
            </w:r>
          </w:p>
        </w:tc>
        <w:tc>
          <w:tcPr>
            <w:tcW w:w="0" w:type="auto"/>
            <w:tcMar>
              <w:top w:w="150" w:type="dxa"/>
              <w:left w:w="240" w:type="dxa"/>
              <w:bottom w:w="150" w:type="dxa"/>
              <w:right w:w="240" w:type="dxa"/>
            </w:tcMar>
            <w:vAlign w:val="center"/>
            <w:hideMark/>
          </w:tcPr>
          <w:p w14:paraId="217B445E" w14:textId="77777777" w:rsidR="00A2509C" w:rsidRPr="00A2509C" w:rsidRDefault="00A2509C" w:rsidP="00A2509C">
            <w:pPr>
              <w:widowControl/>
              <w:jc w:val="left"/>
              <w:rPr>
                <w:rFonts w:ascii="宋体" w:eastAsia="宋体" w:hAnsi="宋体" w:cs="宋体"/>
                <w:b/>
                <w:bCs/>
                <w:color w:val="000000" w:themeColor="text1"/>
                <w:kern w:val="0"/>
                <w:sz w:val="24"/>
              </w:rPr>
            </w:pPr>
            <w:r w:rsidRPr="00A2509C">
              <w:rPr>
                <w:rFonts w:ascii="宋体" w:eastAsia="宋体" w:hAnsi="宋体" w:cs="宋体"/>
                <w:b/>
                <w:bCs/>
                <w:color w:val="000000" w:themeColor="text1"/>
                <w:kern w:val="0"/>
                <w:sz w:val="24"/>
              </w:rPr>
              <w:t>Solution 2 (Balanced)</w:t>
            </w:r>
          </w:p>
        </w:tc>
      </w:tr>
      <w:tr w:rsidR="00A2509C" w:rsidRPr="00A2509C" w14:paraId="111DF212" w14:textId="77777777" w:rsidTr="00A2509C">
        <w:tc>
          <w:tcPr>
            <w:tcW w:w="0" w:type="auto"/>
            <w:tcMar>
              <w:top w:w="150" w:type="dxa"/>
              <w:left w:w="0" w:type="dxa"/>
              <w:bottom w:w="150" w:type="dxa"/>
              <w:right w:w="240" w:type="dxa"/>
            </w:tcMar>
            <w:vAlign w:val="center"/>
            <w:hideMark/>
          </w:tcPr>
          <w:p w14:paraId="7655E1E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Annual tool cost</w:t>
            </w:r>
          </w:p>
        </w:tc>
        <w:tc>
          <w:tcPr>
            <w:tcW w:w="0" w:type="auto"/>
            <w:tcMar>
              <w:top w:w="150" w:type="dxa"/>
              <w:left w:w="240" w:type="dxa"/>
              <w:bottom w:w="150" w:type="dxa"/>
              <w:right w:w="240" w:type="dxa"/>
            </w:tcMar>
            <w:vAlign w:val="center"/>
            <w:hideMark/>
          </w:tcPr>
          <w:p w14:paraId="57C8B38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$0</w:t>
            </w:r>
          </w:p>
        </w:tc>
        <w:tc>
          <w:tcPr>
            <w:tcW w:w="0" w:type="auto"/>
            <w:tcMar>
              <w:top w:w="150" w:type="dxa"/>
              <w:left w:w="240" w:type="dxa"/>
              <w:bottom w:w="150" w:type="dxa"/>
              <w:right w:w="0" w:type="dxa"/>
            </w:tcMar>
            <w:vAlign w:val="center"/>
            <w:hideMark/>
          </w:tcPr>
          <w:p w14:paraId="499C6D67"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$50k–80k</w:t>
            </w:r>
          </w:p>
        </w:tc>
      </w:tr>
      <w:tr w:rsidR="00A2509C" w:rsidRPr="00A2509C" w14:paraId="2F941771" w14:textId="77777777" w:rsidTr="00A2509C">
        <w:tc>
          <w:tcPr>
            <w:tcW w:w="0" w:type="auto"/>
            <w:tcMar>
              <w:top w:w="150" w:type="dxa"/>
              <w:left w:w="0" w:type="dxa"/>
              <w:bottom w:w="150" w:type="dxa"/>
              <w:right w:w="240" w:type="dxa"/>
            </w:tcMar>
            <w:vAlign w:val="center"/>
            <w:hideMark/>
          </w:tcPr>
          <w:p w14:paraId="44DC545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Test automation coverage</w:t>
            </w:r>
          </w:p>
        </w:tc>
        <w:tc>
          <w:tcPr>
            <w:tcW w:w="0" w:type="auto"/>
            <w:tcMar>
              <w:top w:w="150" w:type="dxa"/>
              <w:left w:w="240" w:type="dxa"/>
              <w:bottom w:w="150" w:type="dxa"/>
              <w:right w:w="240" w:type="dxa"/>
            </w:tcMar>
            <w:vAlign w:val="center"/>
            <w:hideMark/>
          </w:tcPr>
          <w:p w14:paraId="539D33A0"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60% (critical paths)</w:t>
            </w:r>
          </w:p>
        </w:tc>
        <w:tc>
          <w:tcPr>
            <w:tcW w:w="0" w:type="auto"/>
            <w:tcMar>
              <w:top w:w="150" w:type="dxa"/>
              <w:left w:w="240" w:type="dxa"/>
              <w:bottom w:w="150" w:type="dxa"/>
              <w:right w:w="0" w:type="dxa"/>
            </w:tcMar>
            <w:vAlign w:val="center"/>
            <w:hideMark/>
          </w:tcPr>
          <w:p w14:paraId="50D251AC"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85% (including non</w:t>
            </w:r>
            <w:r w:rsidRPr="00A2509C">
              <w:rPr>
                <w:rFonts w:ascii="宋体" w:eastAsia="宋体" w:hAnsi="宋体" w:cs="宋体"/>
                <w:color w:val="000000" w:themeColor="text1"/>
                <w:kern w:val="0"/>
                <w:sz w:val="24"/>
              </w:rPr>
              <w:noBreakHyphen/>
              <w:t>functional)</w:t>
            </w:r>
          </w:p>
        </w:tc>
      </w:tr>
      <w:tr w:rsidR="00A2509C" w:rsidRPr="00A2509C" w14:paraId="24412747" w14:textId="77777777" w:rsidTr="00A2509C">
        <w:tc>
          <w:tcPr>
            <w:tcW w:w="0" w:type="auto"/>
            <w:tcMar>
              <w:top w:w="150" w:type="dxa"/>
              <w:left w:w="0" w:type="dxa"/>
              <w:bottom w:w="150" w:type="dxa"/>
              <w:right w:w="240" w:type="dxa"/>
            </w:tcMar>
            <w:vAlign w:val="center"/>
            <w:hideMark/>
          </w:tcPr>
          <w:p w14:paraId="5F54095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Regression test time</w:t>
            </w:r>
          </w:p>
        </w:tc>
        <w:tc>
          <w:tcPr>
            <w:tcW w:w="0" w:type="auto"/>
            <w:tcMar>
              <w:top w:w="150" w:type="dxa"/>
              <w:left w:w="240" w:type="dxa"/>
              <w:bottom w:w="150" w:type="dxa"/>
              <w:right w:w="240" w:type="dxa"/>
            </w:tcMar>
            <w:vAlign w:val="center"/>
            <w:hideMark/>
          </w:tcPr>
          <w:p w14:paraId="35F82148"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2 hours</w:t>
            </w:r>
          </w:p>
        </w:tc>
        <w:tc>
          <w:tcPr>
            <w:tcW w:w="0" w:type="auto"/>
            <w:tcMar>
              <w:top w:w="150" w:type="dxa"/>
              <w:left w:w="240" w:type="dxa"/>
              <w:bottom w:w="150" w:type="dxa"/>
              <w:right w:w="0" w:type="dxa"/>
            </w:tcMar>
            <w:vAlign w:val="center"/>
            <w:hideMark/>
          </w:tcPr>
          <w:p w14:paraId="0B21A19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15 minutes</w:t>
            </w:r>
          </w:p>
        </w:tc>
      </w:tr>
      <w:tr w:rsidR="00A2509C" w:rsidRPr="00A2509C" w14:paraId="4D3D5C54" w14:textId="77777777" w:rsidTr="00A2509C">
        <w:tc>
          <w:tcPr>
            <w:tcW w:w="0" w:type="auto"/>
            <w:tcMar>
              <w:top w:w="150" w:type="dxa"/>
              <w:left w:w="0" w:type="dxa"/>
              <w:bottom w:w="150" w:type="dxa"/>
              <w:right w:w="240" w:type="dxa"/>
            </w:tcMar>
            <w:vAlign w:val="center"/>
            <w:hideMark/>
          </w:tcPr>
          <w:p w14:paraId="728C8736"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Defect detection (early)</w:t>
            </w:r>
          </w:p>
        </w:tc>
        <w:tc>
          <w:tcPr>
            <w:tcW w:w="0" w:type="auto"/>
            <w:tcMar>
              <w:top w:w="150" w:type="dxa"/>
              <w:left w:w="240" w:type="dxa"/>
              <w:bottom w:w="150" w:type="dxa"/>
              <w:right w:w="240" w:type="dxa"/>
            </w:tcMar>
            <w:vAlign w:val="center"/>
            <w:hideMark/>
          </w:tcPr>
          <w:p w14:paraId="142C1A3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Moderate (static analysis only)</w:t>
            </w:r>
          </w:p>
        </w:tc>
        <w:tc>
          <w:tcPr>
            <w:tcW w:w="0" w:type="auto"/>
            <w:tcMar>
              <w:top w:w="150" w:type="dxa"/>
              <w:left w:w="240" w:type="dxa"/>
              <w:bottom w:w="150" w:type="dxa"/>
              <w:right w:w="0" w:type="dxa"/>
            </w:tcMar>
            <w:vAlign w:val="center"/>
            <w:hideMark/>
          </w:tcPr>
          <w:p w14:paraId="7AF612D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High (static + AI design + security)</w:t>
            </w:r>
          </w:p>
        </w:tc>
      </w:tr>
      <w:tr w:rsidR="00A2509C" w:rsidRPr="00A2509C" w14:paraId="2534BCFE" w14:textId="77777777" w:rsidTr="00A2509C">
        <w:tc>
          <w:tcPr>
            <w:tcW w:w="0" w:type="auto"/>
            <w:tcMar>
              <w:top w:w="150" w:type="dxa"/>
              <w:left w:w="0" w:type="dxa"/>
              <w:bottom w:w="150" w:type="dxa"/>
              <w:right w:w="240" w:type="dxa"/>
            </w:tcMar>
            <w:vAlign w:val="center"/>
            <w:hideMark/>
          </w:tcPr>
          <w:p w14:paraId="460BF262"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Scalability proof</w:t>
            </w:r>
          </w:p>
        </w:tc>
        <w:tc>
          <w:tcPr>
            <w:tcW w:w="0" w:type="auto"/>
            <w:tcMar>
              <w:top w:w="150" w:type="dxa"/>
              <w:left w:w="240" w:type="dxa"/>
              <w:bottom w:w="150" w:type="dxa"/>
              <w:right w:w="240" w:type="dxa"/>
            </w:tcMar>
            <w:vAlign w:val="center"/>
            <w:hideMark/>
          </w:tcPr>
          <w:p w14:paraId="535E7AB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Up to 1,000 kiosks simulated</w:t>
            </w:r>
          </w:p>
        </w:tc>
        <w:tc>
          <w:tcPr>
            <w:tcW w:w="0" w:type="auto"/>
            <w:tcMar>
              <w:top w:w="150" w:type="dxa"/>
              <w:left w:w="240" w:type="dxa"/>
              <w:bottom w:w="150" w:type="dxa"/>
              <w:right w:w="0" w:type="dxa"/>
            </w:tcMar>
            <w:vAlign w:val="center"/>
            <w:hideMark/>
          </w:tcPr>
          <w:p w14:paraId="6A965B2D"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Up to 10,000 kiosks (production scale)</w:t>
            </w:r>
          </w:p>
        </w:tc>
      </w:tr>
      <w:tr w:rsidR="00A2509C" w:rsidRPr="00A2509C" w14:paraId="3669ED57" w14:textId="77777777" w:rsidTr="00A2509C">
        <w:tc>
          <w:tcPr>
            <w:tcW w:w="0" w:type="auto"/>
            <w:tcMar>
              <w:top w:w="150" w:type="dxa"/>
              <w:left w:w="0" w:type="dxa"/>
              <w:bottom w:w="150" w:type="dxa"/>
              <w:right w:w="240" w:type="dxa"/>
            </w:tcMar>
            <w:vAlign w:val="center"/>
            <w:hideMark/>
          </w:tcPr>
          <w:p w14:paraId="73432879"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Team skill requirement</w:t>
            </w:r>
          </w:p>
        </w:tc>
        <w:tc>
          <w:tcPr>
            <w:tcW w:w="0" w:type="auto"/>
            <w:tcMar>
              <w:top w:w="150" w:type="dxa"/>
              <w:left w:w="240" w:type="dxa"/>
              <w:bottom w:w="150" w:type="dxa"/>
              <w:right w:w="240" w:type="dxa"/>
            </w:tcMar>
            <w:vAlign w:val="center"/>
            <w:hideMark/>
          </w:tcPr>
          <w:p w14:paraId="72749FBE"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High (in</w:t>
            </w:r>
            <w:r w:rsidRPr="00A2509C">
              <w:rPr>
                <w:rFonts w:ascii="宋体" w:eastAsia="宋体" w:hAnsi="宋体" w:cs="宋体"/>
                <w:color w:val="000000" w:themeColor="text1"/>
                <w:kern w:val="0"/>
                <w:sz w:val="24"/>
              </w:rPr>
              <w:noBreakHyphen/>
              <w:t>house scripting)</w:t>
            </w:r>
          </w:p>
        </w:tc>
        <w:tc>
          <w:tcPr>
            <w:tcW w:w="0" w:type="auto"/>
            <w:tcMar>
              <w:top w:w="150" w:type="dxa"/>
              <w:left w:w="240" w:type="dxa"/>
              <w:bottom w:w="150" w:type="dxa"/>
              <w:right w:w="0" w:type="dxa"/>
            </w:tcMar>
            <w:vAlign w:val="center"/>
            <w:hideMark/>
          </w:tcPr>
          <w:p w14:paraId="7F212A8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Moderate (tool</w:t>
            </w:r>
            <w:r w:rsidRPr="00A2509C">
              <w:rPr>
                <w:rFonts w:ascii="宋体" w:eastAsia="宋体" w:hAnsi="宋体" w:cs="宋体"/>
                <w:color w:val="000000" w:themeColor="text1"/>
                <w:kern w:val="0"/>
                <w:sz w:val="24"/>
              </w:rPr>
              <w:noBreakHyphen/>
              <w:t>specific training)</w:t>
            </w:r>
          </w:p>
        </w:tc>
      </w:tr>
      <w:tr w:rsidR="00A2509C" w:rsidRPr="00A2509C" w14:paraId="6C6EC859" w14:textId="77777777" w:rsidTr="00A2509C">
        <w:tc>
          <w:tcPr>
            <w:tcW w:w="0" w:type="auto"/>
            <w:tcMar>
              <w:top w:w="150" w:type="dxa"/>
              <w:left w:w="0" w:type="dxa"/>
              <w:bottom w:w="150" w:type="dxa"/>
              <w:right w:w="240" w:type="dxa"/>
            </w:tcMar>
            <w:vAlign w:val="center"/>
            <w:hideMark/>
          </w:tcPr>
          <w:p w14:paraId="18C2EA2A"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b/>
                <w:bCs/>
                <w:color w:val="000000" w:themeColor="text1"/>
                <w:kern w:val="0"/>
                <w:sz w:val="24"/>
              </w:rPr>
              <w:t>ROI payback period</w:t>
            </w:r>
          </w:p>
        </w:tc>
        <w:tc>
          <w:tcPr>
            <w:tcW w:w="0" w:type="auto"/>
            <w:tcMar>
              <w:top w:w="150" w:type="dxa"/>
              <w:left w:w="240" w:type="dxa"/>
              <w:bottom w:w="150" w:type="dxa"/>
              <w:right w:w="240" w:type="dxa"/>
            </w:tcMar>
            <w:vAlign w:val="center"/>
            <w:hideMark/>
          </w:tcPr>
          <w:p w14:paraId="089E12A5"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&lt; 2 months</w:t>
            </w:r>
          </w:p>
        </w:tc>
        <w:tc>
          <w:tcPr>
            <w:tcW w:w="0" w:type="auto"/>
            <w:tcMar>
              <w:top w:w="150" w:type="dxa"/>
              <w:left w:w="240" w:type="dxa"/>
              <w:bottom w:w="150" w:type="dxa"/>
              <w:right w:w="0" w:type="dxa"/>
            </w:tcMar>
            <w:vAlign w:val="center"/>
            <w:hideMark/>
          </w:tcPr>
          <w:p w14:paraId="333DFF10" w14:textId="77777777" w:rsidR="00A2509C" w:rsidRPr="00A2509C" w:rsidRDefault="00A2509C" w:rsidP="00A2509C">
            <w:pPr>
              <w:widowControl/>
              <w:jc w:val="left"/>
              <w:rPr>
                <w:rFonts w:ascii="宋体" w:eastAsia="宋体" w:hAnsi="宋体" w:cs="宋体"/>
                <w:color w:val="000000" w:themeColor="text1"/>
                <w:kern w:val="0"/>
                <w:sz w:val="24"/>
              </w:rPr>
            </w:pPr>
            <w:r w:rsidRPr="00A2509C">
              <w:rPr>
                <w:rFonts w:ascii="宋体" w:eastAsia="宋体" w:hAnsi="宋体" w:cs="宋体"/>
                <w:color w:val="000000" w:themeColor="text1"/>
                <w:kern w:val="0"/>
                <w:sz w:val="24"/>
              </w:rPr>
              <w:t>~6 months</w:t>
            </w:r>
          </w:p>
        </w:tc>
      </w:tr>
    </w:tbl>
    <w:p w14:paraId="7108FFBB" w14:textId="77777777" w:rsidR="00A2509C" w:rsidRPr="00A2509C" w:rsidRDefault="00A2509C" w:rsidP="00A2509C">
      <w:pPr>
        <w:widowControl/>
        <w:shd w:val="clear" w:color="auto" w:fill="FFFFFF"/>
        <w:spacing w:before="240"/>
        <w:jc w:val="left"/>
        <w:rPr>
          <w:rFonts w:ascii="Segoe UI" w:eastAsia="宋体" w:hAnsi="Segoe UI" w:cs="Segoe UI"/>
          <w:color w:val="000000" w:themeColor="text1"/>
          <w:kern w:val="0"/>
          <w:szCs w:val="21"/>
        </w:rPr>
      </w:pPr>
      <w:r w:rsidRPr="00A2509C">
        <w:rPr>
          <w:rFonts w:ascii="Segoe UI" w:eastAsia="宋体" w:hAnsi="Segoe UI" w:cs="Segoe UI"/>
          <w:b/>
          <w:bCs/>
          <w:color w:val="000000" w:themeColor="text1"/>
          <w:kern w:val="0"/>
          <w:szCs w:val="21"/>
        </w:rPr>
        <w:t>Recommendation</w:t>
      </w:r>
      <w:r w:rsidRPr="00A2509C">
        <w:rPr>
          <w:rFonts w:ascii="Segoe UI" w:eastAsia="宋体" w:hAnsi="Segoe UI" w:cs="Segoe UI"/>
          <w:color w:val="000000" w:themeColor="text1"/>
          <w:kern w:val="0"/>
          <w:szCs w:val="21"/>
        </w:rPr>
        <w:t> – For an MVP or pilot deployment (first 100 kiosks), start with </w:t>
      </w:r>
      <w:r w:rsidRPr="00A2509C">
        <w:rPr>
          <w:rFonts w:ascii="Segoe UI" w:eastAsia="宋体" w:hAnsi="Segoe UI" w:cs="Segoe UI"/>
          <w:b/>
          <w:bCs/>
          <w:color w:val="000000" w:themeColor="text1"/>
          <w:kern w:val="0"/>
          <w:szCs w:val="21"/>
        </w:rPr>
        <w:t>Solution 1</w:t>
      </w:r>
      <w:r w:rsidRPr="00A2509C">
        <w:rPr>
          <w:rFonts w:ascii="Segoe UI" w:eastAsia="宋体" w:hAnsi="Segoe UI" w:cs="Segoe UI"/>
          <w:color w:val="000000" w:themeColor="text1"/>
          <w:kern w:val="0"/>
          <w:szCs w:val="21"/>
        </w:rPr>
        <w:t>. As Omninet scales to 10,000 kiosks and adds AI features, migrate to </w:t>
      </w:r>
      <w:r w:rsidRPr="00A2509C">
        <w:rPr>
          <w:rFonts w:ascii="Segoe UI" w:eastAsia="宋体" w:hAnsi="Segoe UI" w:cs="Segoe UI"/>
          <w:b/>
          <w:bCs/>
          <w:color w:val="000000" w:themeColor="text1"/>
          <w:kern w:val="0"/>
          <w:szCs w:val="21"/>
        </w:rPr>
        <w:t>Solution 2</w:t>
      </w:r>
      <w:r w:rsidRPr="00A2509C">
        <w:rPr>
          <w:rFonts w:ascii="Segoe UI" w:eastAsia="宋体" w:hAnsi="Segoe UI" w:cs="Segoe UI"/>
          <w:color w:val="000000" w:themeColor="text1"/>
          <w:kern w:val="0"/>
          <w:szCs w:val="21"/>
        </w:rPr>
        <w:t> to maintain quality and release cadence.</w:t>
      </w:r>
    </w:p>
    <w:p w14:paraId="01479D74" w14:textId="77777777" w:rsidR="00A2509C" w:rsidRPr="00A2509C" w:rsidRDefault="00A2509C" w:rsidP="00A2509C">
      <w:pPr>
        <w:widowControl/>
        <w:jc w:val="left"/>
        <w:rPr>
          <w:rFonts w:ascii="宋体" w:eastAsia="宋体" w:hAnsi="宋体" w:cs="宋体"/>
          <w:color w:val="000000" w:themeColor="text1"/>
          <w:kern w:val="0"/>
          <w:sz w:val="24"/>
        </w:rPr>
      </w:pPr>
    </w:p>
    <w:p w14:paraId="1BB7A342" w14:textId="77777777" w:rsidR="008C21C8" w:rsidRPr="00A2509C" w:rsidRDefault="008C21C8">
      <w:pPr>
        <w:rPr>
          <w:color w:val="000000" w:themeColor="text1"/>
        </w:rPr>
      </w:pPr>
    </w:p>
    <w:sectPr w:rsidR="008C21C8" w:rsidRPr="00A2509C" w:rsidSect="00F5465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64840"/>
    <w:multiLevelType w:val="multilevel"/>
    <w:tmpl w:val="FDD0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5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9C"/>
    <w:rsid w:val="0048466E"/>
    <w:rsid w:val="00501F15"/>
    <w:rsid w:val="008A373F"/>
    <w:rsid w:val="008C21C8"/>
    <w:rsid w:val="00A2509C"/>
    <w:rsid w:val="00A250D6"/>
    <w:rsid w:val="00B37FB3"/>
    <w:rsid w:val="00B85E18"/>
    <w:rsid w:val="00F5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CD3B"/>
  <w15:chartTrackingRefBased/>
  <w15:docId w15:val="{3E2B0DA2-2652-214E-8105-1F9B0C24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50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250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50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50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509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50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50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50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50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09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2509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509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509C"/>
    <w:rPr>
      <w:rFonts w:cstheme="majorBidi"/>
      <w:color w:val="2F5496" w:themeColor="accent1" w:themeShade="BF"/>
      <w:sz w:val="28"/>
      <w:szCs w:val="28"/>
    </w:rPr>
  </w:style>
  <w:style w:type="character" w:customStyle="1" w:styleId="50">
    <w:name w:val="标题 5 字符"/>
    <w:basedOn w:val="a0"/>
    <w:link w:val="5"/>
    <w:uiPriority w:val="9"/>
    <w:semiHidden/>
    <w:rsid w:val="00A2509C"/>
    <w:rPr>
      <w:rFonts w:cstheme="majorBidi"/>
      <w:color w:val="2F5496" w:themeColor="accent1" w:themeShade="BF"/>
      <w:sz w:val="24"/>
    </w:rPr>
  </w:style>
  <w:style w:type="character" w:customStyle="1" w:styleId="60">
    <w:name w:val="标题 6 字符"/>
    <w:basedOn w:val="a0"/>
    <w:link w:val="6"/>
    <w:uiPriority w:val="9"/>
    <w:semiHidden/>
    <w:rsid w:val="00A2509C"/>
    <w:rPr>
      <w:rFonts w:cstheme="majorBidi"/>
      <w:b/>
      <w:bCs/>
      <w:color w:val="2F5496" w:themeColor="accent1" w:themeShade="BF"/>
    </w:rPr>
  </w:style>
  <w:style w:type="character" w:customStyle="1" w:styleId="70">
    <w:name w:val="标题 7 字符"/>
    <w:basedOn w:val="a0"/>
    <w:link w:val="7"/>
    <w:uiPriority w:val="9"/>
    <w:semiHidden/>
    <w:rsid w:val="00A2509C"/>
    <w:rPr>
      <w:rFonts w:cstheme="majorBidi"/>
      <w:b/>
      <w:bCs/>
      <w:color w:val="595959" w:themeColor="text1" w:themeTint="A6"/>
    </w:rPr>
  </w:style>
  <w:style w:type="character" w:customStyle="1" w:styleId="80">
    <w:name w:val="标题 8 字符"/>
    <w:basedOn w:val="a0"/>
    <w:link w:val="8"/>
    <w:uiPriority w:val="9"/>
    <w:semiHidden/>
    <w:rsid w:val="00A2509C"/>
    <w:rPr>
      <w:rFonts w:cstheme="majorBidi"/>
      <w:color w:val="595959" w:themeColor="text1" w:themeTint="A6"/>
    </w:rPr>
  </w:style>
  <w:style w:type="character" w:customStyle="1" w:styleId="90">
    <w:name w:val="标题 9 字符"/>
    <w:basedOn w:val="a0"/>
    <w:link w:val="9"/>
    <w:uiPriority w:val="9"/>
    <w:semiHidden/>
    <w:rsid w:val="00A2509C"/>
    <w:rPr>
      <w:rFonts w:eastAsiaTheme="majorEastAsia" w:cstheme="majorBidi"/>
      <w:color w:val="595959" w:themeColor="text1" w:themeTint="A6"/>
    </w:rPr>
  </w:style>
  <w:style w:type="paragraph" w:styleId="a3">
    <w:name w:val="Title"/>
    <w:basedOn w:val="a"/>
    <w:next w:val="a"/>
    <w:link w:val="a4"/>
    <w:uiPriority w:val="10"/>
    <w:qFormat/>
    <w:rsid w:val="00A250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50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0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50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509C"/>
    <w:pPr>
      <w:spacing w:before="160" w:after="160"/>
      <w:jc w:val="center"/>
    </w:pPr>
    <w:rPr>
      <w:i/>
      <w:iCs/>
      <w:color w:val="404040" w:themeColor="text1" w:themeTint="BF"/>
    </w:rPr>
  </w:style>
  <w:style w:type="character" w:customStyle="1" w:styleId="a8">
    <w:name w:val="引用 字符"/>
    <w:basedOn w:val="a0"/>
    <w:link w:val="a7"/>
    <w:uiPriority w:val="29"/>
    <w:rsid w:val="00A2509C"/>
    <w:rPr>
      <w:i/>
      <w:iCs/>
      <w:color w:val="404040" w:themeColor="text1" w:themeTint="BF"/>
    </w:rPr>
  </w:style>
  <w:style w:type="paragraph" w:styleId="a9">
    <w:name w:val="List Paragraph"/>
    <w:basedOn w:val="a"/>
    <w:uiPriority w:val="34"/>
    <w:qFormat/>
    <w:rsid w:val="00A2509C"/>
    <w:pPr>
      <w:ind w:left="720"/>
      <w:contextualSpacing/>
    </w:pPr>
  </w:style>
  <w:style w:type="character" w:styleId="aa">
    <w:name w:val="Intense Emphasis"/>
    <w:basedOn w:val="a0"/>
    <w:uiPriority w:val="21"/>
    <w:qFormat/>
    <w:rsid w:val="00A2509C"/>
    <w:rPr>
      <w:i/>
      <w:iCs/>
      <w:color w:val="2F5496" w:themeColor="accent1" w:themeShade="BF"/>
    </w:rPr>
  </w:style>
  <w:style w:type="paragraph" w:styleId="ab">
    <w:name w:val="Intense Quote"/>
    <w:basedOn w:val="a"/>
    <w:next w:val="a"/>
    <w:link w:val="ac"/>
    <w:uiPriority w:val="30"/>
    <w:qFormat/>
    <w:rsid w:val="00A25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509C"/>
    <w:rPr>
      <w:i/>
      <w:iCs/>
      <w:color w:val="2F5496" w:themeColor="accent1" w:themeShade="BF"/>
    </w:rPr>
  </w:style>
  <w:style w:type="character" w:styleId="ad">
    <w:name w:val="Intense Reference"/>
    <w:basedOn w:val="a0"/>
    <w:uiPriority w:val="32"/>
    <w:qFormat/>
    <w:rsid w:val="00A2509C"/>
    <w:rPr>
      <w:b/>
      <w:bCs/>
      <w:smallCaps/>
      <w:color w:val="2F5496" w:themeColor="accent1" w:themeShade="BF"/>
      <w:spacing w:val="5"/>
    </w:rPr>
  </w:style>
  <w:style w:type="paragraph" w:customStyle="1" w:styleId="ds-markdown-paragraph">
    <w:name w:val="ds-markdown-paragraph"/>
    <w:basedOn w:val="a"/>
    <w:rsid w:val="00A2509C"/>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A2509C"/>
    <w:rPr>
      <w:b/>
      <w:bCs/>
    </w:rPr>
  </w:style>
  <w:style w:type="character" w:customStyle="1" w:styleId="apple-converted-space">
    <w:name w:val="apple-converted-space"/>
    <w:basedOn w:val="a0"/>
    <w:rsid w:val="00A25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Liu</dc:creator>
  <cp:keywords/>
  <dc:description/>
  <cp:lastModifiedBy>Qin Liu</cp:lastModifiedBy>
  <cp:revision>1</cp:revision>
  <dcterms:created xsi:type="dcterms:W3CDTF">2026-05-18T23:35:00Z</dcterms:created>
  <dcterms:modified xsi:type="dcterms:W3CDTF">2026-05-18T23:42:00Z</dcterms:modified>
</cp:coreProperties>
</file>