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F28B3" w:rsidRDefault="00000000">
      <w:pPr>
        <w:pStyle w:val="Heading3"/>
        <w:keepNext w:val="0"/>
        <w:keepLines w:val="0"/>
        <w:spacing w:before="280"/>
      </w:pPr>
      <w:bookmarkStart w:id="0" w:name="_vcnxco6be3wx" w:colFirst="0" w:colLast="0"/>
      <w:bookmarkEnd w:id="0"/>
      <w:r>
        <w:rPr>
          <w:b/>
          <w:color w:val="000000"/>
          <w:sz w:val="26"/>
          <w:szCs w:val="26"/>
        </w:rPr>
        <w:t>ATACH Style Guide</w:t>
      </w:r>
      <w:r>
        <w:pict w14:anchorId="245018C8">
          <v:rect id="_x0000_i1025" style="width:0;height:1.5pt" o:hralign="center" o:hrstd="t" o:hr="t" fillcolor="#a0a0a0" stroked="f"/>
        </w:pict>
      </w:r>
    </w:p>
    <w:p w14:paraId="00000002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9i5dyiqi489q" w:colFirst="0" w:colLast="0"/>
      <w:bookmarkEnd w:id="1"/>
      <w:r>
        <w:rPr>
          <w:b/>
          <w:color w:val="000000"/>
          <w:sz w:val="22"/>
          <w:szCs w:val="22"/>
        </w:rPr>
        <w:t>1. Tone and Voice</w:t>
      </w:r>
    </w:p>
    <w:p w14:paraId="00000003" w14:textId="77777777" w:rsidR="00AF28B3" w:rsidRDefault="00000000">
      <w:pPr>
        <w:numPr>
          <w:ilvl w:val="0"/>
          <w:numId w:val="7"/>
        </w:numPr>
        <w:spacing w:before="240"/>
      </w:pPr>
      <w:r>
        <w:rPr>
          <w:b/>
        </w:rPr>
        <w:t>Calm Authority</w:t>
      </w:r>
      <w:r>
        <w:t>: Maintain a composed, expert tone regardless of topic or audience.</w:t>
      </w:r>
    </w:p>
    <w:p w14:paraId="00000004" w14:textId="77777777" w:rsidR="00AF28B3" w:rsidRDefault="00000000">
      <w:pPr>
        <w:numPr>
          <w:ilvl w:val="0"/>
          <w:numId w:val="7"/>
        </w:numPr>
      </w:pPr>
      <w:r>
        <w:rPr>
          <w:b/>
        </w:rPr>
        <w:t>Professional Precision</w:t>
      </w:r>
      <w:r>
        <w:t xml:space="preserve">: Language should be factual and direct, favoring conciseness </w:t>
      </w:r>
      <w:proofErr w:type="spellStart"/>
      <w:r>
        <w:t>over elaborate</w:t>
      </w:r>
      <w:proofErr w:type="spellEnd"/>
      <w:r>
        <w:t xml:space="preserve"> language.</w:t>
      </w:r>
    </w:p>
    <w:p w14:paraId="00000005" w14:textId="77777777" w:rsidR="00AF28B3" w:rsidRDefault="00000000">
      <w:pPr>
        <w:numPr>
          <w:ilvl w:val="0"/>
          <w:numId w:val="7"/>
        </w:numPr>
      </w:pPr>
      <w:r>
        <w:rPr>
          <w:b/>
        </w:rPr>
        <w:t>Plain-Spoken Intelligence</w:t>
      </w:r>
      <w:r>
        <w:t>: Avoid jargon. Use clear, simple language to explain complex topics, reflecting ATACH’s expertise without arrogance.</w:t>
      </w:r>
    </w:p>
    <w:p w14:paraId="13B6A7CE" w14:textId="77777777" w:rsidR="00C321A8" w:rsidRDefault="00000000" w:rsidP="00C321A8">
      <w:pPr>
        <w:numPr>
          <w:ilvl w:val="0"/>
          <w:numId w:val="7"/>
        </w:numPr>
        <w:spacing w:after="240"/>
      </w:pPr>
      <w:r>
        <w:rPr>
          <w:b/>
        </w:rPr>
        <w:t>Neutral Objectivity</w:t>
      </w:r>
      <w:r>
        <w:t>: Avoid personal judgments or subjective language, especially in political summaries or advocacy contexts. Use qualifiers like "appears," "suggests," or "indicates" over definitive terms when presenting interpretations.</w:t>
      </w:r>
    </w:p>
    <w:p w14:paraId="062EDC6C" w14:textId="2E4E7A4D" w:rsidR="00C321A8" w:rsidRDefault="00C321A8" w:rsidP="00C321A8">
      <w:pPr>
        <w:numPr>
          <w:ilvl w:val="0"/>
          <w:numId w:val="7"/>
        </w:numPr>
        <w:spacing w:after="240"/>
      </w:pPr>
      <w:r w:rsidRPr="000C6BD3">
        <w:t>Focus on Factual Descriptions Only</w:t>
      </w:r>
    </w:p>
    <w:p w14:paraId="4ECACEDC" w14:textId="5D4483A1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Objective: Provide only the direct details without language suggesting intent, goals, or commitments.</w:t>
      </w:r>
    </w:p>
    <w:p w14:paraId="556EAD88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Examples to Avoid:</w:t>
      </w:r>
    </w:p>
    <w:p w14:paraId="12040B8F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“These measures reflect the state’s commitment to public health.”</w:t>
      </w:r>
    </w:p>
    <w:p w14:paraId="403C1590" w14:textId="14AA3E5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 xml:space="preserve">“The </w:t>
      </w:r>
      <w:r>
        <w:t>policy</w:t>
      </w:r>
      <w:r w:rsidRPr="000C6BD3">
        <w:t xml:space="preserve"> aims to protect consumers through these safety standards.”</w:t>
      </w:r>
    </w:p>
    <w:p w14:paraId="5C13FA05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Preferred Approach:</w:t>
      </w:r>
    </w:p>
    <w:p w14:paraId="056B8150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Simply describe the policy actions. For example, instead of “This measure safeguards minors from exposure,” use “The regulation includes an age restriction of 21 for purchase.”</w:t>
      </w:r>
    </w:p>
    <w:p w14:paraId="084C9855" w14:textId="77777777" w:rsidR="00C321A8" w:rsidRDefault="00C321A8" w:rsidP="00C321A8">
      <w:pPr>
        <w:pStyle w:val="ListParagraph"/>
        <w:numPr>
          <w:ilvl w:val="0"/>
          <w:numId w:val="7"/>
        </w:numPr>
        <w:spacing w:before="240" w:after="240"/>
      </w:pPr>
      <w:r w:rsidRPr="000C6BD3">
        <w:t>Omit References to Purpose or Intent</w:t>
      </w:r>
    </w:p>
    <w:p w14:paraId="7D7CA62E" w14:textId="14B29E92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 xml:space="preserve">Avoid assumptions or statements about why </w:t>
      </w:r>
      <w:r>
        <w:t>a person, entity, organization, or government</w:t>
      </w:r>
      <w:r w:rsidRPr="000C6BD3">
        <w:t xml:space="preserve"> enacted certain policies.</w:t>
      </w:r>
    </w:p>
    <w:p w14:paraId="3200207B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Examples to Avoid:</w:t>
      </w:r>
    </w:p>
    <w:p w14:paraId="49EAEC92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“This ban is intended to prevent misuse.”</w:t>
      </w:r>
    </w:p>
    <w:p w14:paraId="5482675E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“This regulation aims to promote safe dosing.</w:t>
      </w:r>
      <w:r>
        <w:t>”</w:t>
      </w:r>
    </w:p>
    <w:p w14:paraId="29C4622F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Preferred Approach:</w:t>
      </w:r>
    </w:p>
    <w:p w14:paraId="6DF7612A" w14:textId="2379F2F3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Detail the actions factually. For instance, instead of “This framework aims to enhance consumer protection,” simply write, “The framework requires licensing, potency limits, and safety standards.”</w:t>
      </w:r>
    </w:p>
    <w:p w14:paraId="46577C06" w14:textId="77777777" w:rsidR="00C321A8" w:rsidRDefault="00C321A8" w:rsidP="00C321A8">
      <w:pPr>
        <w:pStyle w:val="ListParagraph"/>
        <w:numPr>
          <w:ilvl w:val="0"/>
          <w:numId w:val="7"/>
        </w:numPr>
        <w:spacing w:before="240" w:after="240"/>
      </w:pPr>
      <w:r w:rsidRPr="000C6BD3">
        <w:t>Avoid Language Implying a State’s Commitment or Focus</w:t>
      </w:r>
    </w:p>
    <w:p w14:paraId="253DBE16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Do not use language that suggests a state’s commitment, focus, or goal concerning a policy.</w:t>
      </w:r>
    </w:p>
    <w:p w14:paraId="4CB2058B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Examples to Avoid:</w:t>
      </w:r>
    </w:p>
    <w:p w14:paraId="648B7E22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“This policy reflects the state’s focus on consumer safety.”</w:t>
      </w:r>
    </w:p>
    <w:p w14:paraId="5672D9FB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“The state shows a strong commitment to responsible access.”</w:t>
      </w:r>
    </w:p>
    <w:p w14:paraId="0F216726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Preferred Approach:</w:t>
      </w:r>
    </w:p>
    <w:p w14:paraId="0F7EE50A" w14:textId="77777777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lastRenderedPageBreak/>
        <w:t>Stick to direct statements about the policy details. Replace with phrases like, “The policy includes requirements for age restrictions, testing, and labeling.”</w:t>
      </w:r>
    </w:p>
    <w:p w14:paraId="12256802" w14:textId="77777777" w:rsidR="00C321A8" w:rsidRDefault="00C321A8" w:rsidP="00C321A8">
      <w:pPr>
        <w:pStyle w:val="ListParagraph"/>
        <w:numPr>
          <w:ilvl w:val="0"/>
          <w:numId w:val="7"/>
        </w:numPr>
        <w:spacing w:before="240" w:after="240"/>
      </w:pPr>
      <w:r w:rsidRPr="000C6BD3">
        <w:t>Be Precise with Regulatory Details</w:t>
      </w:r>
    </w:p>
    <w:p w14:paraId="4013D11E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When describing specific regulations (e.g., potency limits, licensing requirements), focus solely on the exact details rather than inferred outcomes.</w:t>
      </w:r>
    </w:p>
    <w:p w14:paraId="534A552C" w14:textId="77777777" w:rsidR="00C321A8" w:rsidRDefault="00C321A8" w:rsidP="00C321A8">
      <w:pPr>
        <w:pStyle w:val="ListParagraph"/>
        <w:numPr>
          <w:ilvl w:val="1"/>
          <w:numId w:val="7"/>
        </w:numPr>
        <w:spacing w:before="240" w:after="240"/>
      </w:pPr>
      <w:r w:rsidRPr="000C6BD3">
        <w:t>Example to Use:</w:t>
      </w:r>
    </w:p>
    <w:p w14:paraId="6309B342" w14:textId="30141CE0" w:rsidR="00C321A8" w:rsidRDefault="00C321A8" w:rsidP="00C321A8">
      <w:pPr>
        <w:pStyle w:val="ListParagraph"/>
        <w:numPr>
          <w:ilvl w:val="2"/>
          <w:numId w:val="7"/>
        </w:numPr>
        <w:spacing w:before="240" w:after="240"/>
      </w:pPr>
      <w:r w:rsidRPr="000C6BD3">
        <w:t>Instead of stating, “These regulations help maintain market safety,” simply outline the specifics, like, “The state requires third-party testing for all synthetic THC products before sale.”</w:t>
      </w:r>
    </w:p>
    <w:p w14:paraId="00000007" w14:textId="77777777" w:rsidR="00AF28B3" w:rsidRDefault="00000000">
      <w:r>
        <w:pict w14:anchorId="61C6D436">
          <v:rect id="_x0000_i1026" style="width:0;height:1.5pt" o:hralign="center" o:hrstd="t" o:hr="t" fillcolor="#a0a0a0" stroked="f"/>
        </w:pict>
      </w:r>
    </w:p>
    <w:p w14:paraId="00000008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uhqa4g9mpite" w:colFirst="0" w:colLast="0"/>
      <w:bookmarkEnd w:id="2"/>
      <w:r>
        <w:rPr>
          <w:b/>
          <w:color w:val="000000"/>
          <w:sz w:val="22"/>
          <w:szCs w:val="22"/>
        </w:rPr>
        <w:t>2. General Structure and Formatting</w:t>
      </w:r>
    </w:p>
    <w:p w14:paraId="00000009" w14:textId="77777777" w:rsidR="00AF28B3" w:rsidRDefault="00000000">
      <w:pPr>
        <w:numPr>
          <w:ilvl w:val="0"/>
          <w:numId w:val="1"/>
        </w:numPr>
        <w:spacing w:before="240"/>
      </w:pPr>
      <w:r>
        <w:rPr>
          <w:b/>
        </w:rPr>
        <w:t>Headings and Subheadings</w:t>
      </w:r>
      <w:r>
        <w:t>: Use bold for section titles only; apply sentence case for clarity.</w:t>
      </w:r>
    </w:p>
    <w:p w14:paraId="0000000A" w14:textId="77777777" w:rsidR="00AF28B3" w:rsidRDefault="00000000">
      <w:pPr>
        <w:numPr>
          <w:ilvl w:val="0"/>
          <w:numId w:val="1"/>
        </w:numPr>
      </w:pPr>
      <w:r>
        <w:rPr>
          <w:b/>
        </w:rPr>
        <w:t>Bulleted Lists</w:t>
      </w:r>
      <w:r>
        <w:t>: Use for multiple points; ensure each bullet maintains a parallel structure (e.g., all start with a verb or noun).</w:t>
      </w:r>
    </w:p>
    <w:p w14:paraId="0000000B" w14:textId="77777777" w:rsidR="00AF28B3" w:rsidRDefault="00000000">
      <w:pPr>
        <w:numPr>
          <w:ilvl w:val="0"/>
          <w:numId w:val="1"/>
        </w:numPr>
      </w:pPr>
      <w:r>
        <w:rPr>
          <w:b/>
        </w:rPr>
        <w:t>Line Spacing</w:t>
      </w:r>
      <w:r>
        <w:t>: Single-space within paragraphs, with double-spacing between sections.</w:t>
      </w:r>
    </w:p>
    <w:p w14:paraId="0000000C" w14:textId="77777777" w:rsidR="00AF28B3" w:rsidRDefault="00000000">
      <w:pPr>
        <w:numPr>
          <w:ilvl w:val="0"/>
          <w:numId w:val="1"/>
        </w:numPr>
      </w:pPr>
      <w:r>
        <w:rPr>
          <w:b/>
        </w:rPr>
        <w:t>Font and Margins</w:t>
      </w:r>
      <w:r>
        <w:t>: Use Times New Roman, 12 pt., with standard 1-inch margins unless otherwise directed.</w:t>
      </w:r>
    </w:p>
    <w:p w14:paraId="0000000D" w14:textId="77777777" w:rsidR="00AF28B3" w:rsidRDefault="00000000">
      <w:pPr>
        <w:numPr>
          <w:ilvl w:val="0"/>
          <w:numId w:val="1"/>
        </w:numPr>
        <w:spacing w:after="240"/>
      </w:pPr>
      <w:r>
        <w:rPr>
          <w:b/>
        </w:rPr>
        <w:t>Punctuation and Grammar</w:t>
      </w:r>
      <w:r>
        <w:t>: Follow AP Style for punctuation and grammar rules (e.g., single space after a period, no Oxford comma in simple lists).</w:t>
      </w:r>
    </w:p>
    <w:p w14:paraId="0000000E" w14:textId="77777777" w:rsidR="00AF28B3" w:rsidRDefault="00000000">
      <w:r>
        <w:pict w14:anchorId="64D5CBC6">
          <v:rect id="_x0000_i1027" style="width:0;height:1.5pt" o:hralign="center" o:hrstd="t" o:hr="t" fillcolor="#a0a0a0" stroked="f"/>
        </w:pict>
      </w:r>
    </w:p>
    <w:p w14:paraId="0000000F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r1nr2n5w0iww" w:colFirst="0" w:colLast="0"/>
      <w:bookmarkEnd w:id="3"/>
      <w:r>
        <w:rPr>
          <w:b/>
          <w:color w:val="000000"/>
          <w:sz w:val="22"/>
          <w:szCs w:val="22"/>
        </w:rPr>
        <w:t>3. Abbreviations and Acronyms</w:t>
      </w:r>
    </w:p>
    <w:p w14:paraId="00000010" w14:textId="77777777" w:rsidR="00AF28B3" w:rsidRDefault="00000000">
      <w:pPr>
        <w:numPr>
          <w:ilvl w:val="0"/>
          <w:numId w:val="8"/>
        </w:numPr>
        <w:spacing w:before="240"/>
      </w:pPr>
      <w:r>
        <w:rPr>
          <w:b/>
        </w:rPr>
        <w:t>Titles</w:t>
      </w:r>
      <w:r>
        <w:t>: Use abbreviations like Dr., Sen., Gov., only before full names on first reference; do not abbreviate on subsequent references.</w:t>
      </w:r>
    </w:p>
    <w:p w14:paraId="00000011" w14:textId="77777777" w:rsidR="00AF28B3" w:rsidRDefault="00000000">
      <w:pPr>
        <w:numPr>
          <w:ilvl w:val="0"/>
          <w:numId w:val="8"/>
        </w:numPr>
      </w:pPr>
      <w:r>
        <w:rPr>
          <w:b/>
        </w:rPr>
        <w:t>General Acronyms</w:t>
      </w:r>
      <w:r>
        <w:t>: Avoid “alphabet soup.” Use only well-known acronyms (e.g., FDA, CBD), and define all terms on first reference.</w:t>
      </w:r>
    </w:p>
    <w:p w14:paraId="00000012" w14:textId="77777777" w:rsidR="00AF28B3" w:rsidRDefault="00000000">
      <w:pPr>
        <w:numPr>
          <w:ilvl w:val="0"/>
          <w:numId w:val="8"/>
        </w:numPr>
        <w:spacing w:after="240"/>
      </w:pPr>
      <w:r>
        <w:rPr>
          <w:b/>
        </w:rPr>
        <w:t>States</w:t>
      </w:r>
      <w:r>
        <w:t>: Abbreviate state names only with city references, per AP Style (e.g., Columbus, Ohio). Spell out state names when standing alone.</w:t>
      </w:r>
    </w:p>
    <w:p w14:paraId="00000013" w14:textId="77777777" w:rsidR="00AF28B3" w:rsidRDefault="00000000">
      <w:r>
        <w:pict w14:anchorId="41318AFA">
          <v:rect id="_x0000_i1028" style="width:0;height:1.5pt" o:hralign="center" o:hrstd="t" o:hr="t" fillcolor="#a0a0a0" stroked="f"/>
        </w:pict>
      </w:r>
    </w:p>
    <w:p w14:paraId="00000014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c154vvcylrep" w:colFirst="0" w:colLast="0"/>
      <w:bookmarkEnd w:id="4"/>
      <w:r>
        <w:rPr>
          <w:b/>
          <w:color w:val="000000"/>
          <w:sz w:val="22"/>
          <w:szCs w:val="22"/>
        </w:rPr>
        <w:t>4. Date, Time, and Number Formatting</w:t>
      </w:r>
    </w:p>
    <w:p w14:paraId="00000015" w14:textId="77777777" w:rsidR="00AF28B3" w:rsidRDefault="00000000">
      <w:pPr>
        <w:numPr>
          <w:ilvl w:val="0"/>
          <w:numId w:val="6"/>
        </w:numPr>
        <w:spacing w:before="240"/>
      </w:pPr>
      <w:r>
        <w:rPr>
          <w:b/>
        </w:rPr>
        <w:t>Dates</w:t>
      </w:r>
      <w:r>
        <w:t>: Use numerals without suffixes (e.g., Aug. 15, not Aug. 15th). Abbreviate months with six or more letters when used with specific dates (e.g., Sept. 20).</w:t>
      </w:r>
    </w:p>
    <w:p w14:paraId="00000016" w14:textId="77777777" w:rsidR="00AF28B3" w:rsidRDefault="00000000">
      <w:pPr>
        <w:numPr>
          <w:ilvl w:val="0"/>
          <w:numId w:val="6"/>
        </w:numPr>
      </w:pPr>
      <w:r>
        <w:rPr>
          <w:b/>
        </w:rPr>
        <w:t>Times</w:t>
      </w:r>
      <w:r>
        <w:t>: Use numerals with lowercase “a.m.” or “p.m.” (e.g., 3 p.m., noon). Avoid :00 for even hours.</w:t>
      </w:r>
    </w:p>
    <w:p w14:paraId="00000017" w14:textId="77777777" w:rsidR="00AF28B3" w:rsidRDefault="00000000">
      <w:pPr>
        <w:numPr>
          <w:ilvl w:val="0"/>
          <w:numId w:val="6"/>
        </w:numPr>
      </w:pPr>
      <w:r>
        <w:rPr>
          <w:b/>
        </w:rPr>
        <w:t>Numbers</w:t>
      </w:r>
      <w:r>
        <w:t>:</w:t>
      </w:r>
    </w:p>
    <w:p w14:paraId="00000018" w14:textId="77777777" w:rsidR="00AF28B3" w:rsidRDefault="00000000">
      <w:pPr>
        <w:numPr>
          <w:ilvl w:val="1"/>
          <w:numId w:val="6"/>
        </w:numPr>
      </w:pPr>
      <w:r>
        <w:lastRenderedPageBreak/>
        <w:t>Spell out numbers under 10, except in dates, times, ages, and monetary amounts.</w:t>
      </w:r>
    </w:p>
    <w:p w14:paraId="00000019" w14:textId="77777777" w:rsidR="00AF28B3" w:rsidRDefault="00000000">
      <w:pPr>
        <w:numPr>
          <w:ilvl w:val="1"/>
          <w:numId w:val="6"/>
        </w:numPr>
      </w:pPr>
      <w:r>
        <w:t>Use numerals for 10 and above, and for percentages (e.g., “4 percent”).</w:t>
      </w:r>
    </w:p>
    <w:p w14:paraId="0000001A" w14:textId="77777777" w:rsidR="00AF28B3" w:rsidRDefault="00000000">
      <w:pPr>
        <w:numPr>
          <w:ilvl w:val="1"/>
          <w:numId w:val="6"/>
        </w:numPr>
        <w:spacing w:after="240"/>
      </w:pPr>
      <w:r>
        <w:t>Avoid starting sentences with numbers; if unavoidable, spell them out (e.g., “Twenty people attended.”).</w:t>
      </w:r>
    </w:p>
    <w:p w14:paraId="0000001B" w14:textId="77777777" w:rsidR="00AF28B3" w:rsidRDefault="00000000">
      <w:r>
        <w:pict w14:anchorId="0D497DB0">
          <v:rect id="_x0000_i1029" style="width:0;height:1.5pt" o:hralign="center" o:hrstd="t" o:hr="t" fillcolor="#a0a0a0" stroked="f"/>
        </w:pict>
      </w:r>
    </w:p>
    <w:p w14:paraId="0000001C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qx8gymh7srwt" w:colFirst="0" w:colLast="0"/>
      <w:bookmarkEnd w:id="5"/>
      <w:r>
        <w:rPr>
          <w:b/>
          <w:color w:val="000000"/>
          <w:sz w:val="22"/>
          <w:szCs w:val="22"/>
        </w:rPr>
        <w:t>5. Titles and Names</w:t>
      </w:r>
    </w:p>
    <w:p w14:paraId="0000001D" w14:textId="77777777" w:rsidR="00AF28B3" w:rsidRDefault="00000000">
      <w:pPr>
        <w:numPr>
          <w:ilvl w:val="0"/>
          <w:numId w:val="10"/>
        </w:numPr>
        <w:spacing w:before="240"/>
      </w:pPr>
      <w:r>
        <w:rPr>
          <w:b/>
        </w:rPr>
        <w:t>People’s Names</w:t>
      </w:r>
      <w:r>
        <w:t>: Use the full name on first mention; last name only on subsequent mentions unless clarity requires otherwise.</w:t>
      </w:r>
    </w:p>
    <w:p w14:paraId="0000001E" w14:textId="77777777" w:rsidR="00AF28B3" w:rsidRDefault="00000000">
      <w:pPr>
        <w:numPr>
          <w:ilvl w:val="0"/>
          <w:numId w:val="10"/>
        </w:numPr>
      </w:pPr>
      <w:r>
        <w:rPr>
          <w:b/>
        </w:rPr>
        <w:t>Job Titles</w:t>
      </w:r>
      <w:r>
        <w:t xml:space="preserve">: Capitalize formal titles before a name (e.g., President Jones); lowercase if they follow a name or </w:t>
      </w:r>
      <w:proofErr w:type="spellStart"/>
      <w:r>
        <w:t>stand alone</w:t>
      </w:r>
      <w:proofErr w:type="spellEnd"/>
      <w:r>
        <w:t xml:space="preserve"> (e.g., “the president attended”).</w:t>
      </w:r>
    </w:p>
    <w:p w14:paraId="0000001F" w14:textId="77777777" w:rsidR="00AF28B3" w:rsidRDefault="00000000">
      <w:pPr>
        <w:numPr>
          <w:ilvl w:val="0"/>
          <w:numId w:val="10"/>
        </w:numPr>
        <w:spacing w:after="240"/>
      </w:pPr>
      <w:r>
        <w:rPr>
          <w:b/>
        </w:rPr>
        <w:t>Classes and Departments</w:t>
      </w:r>
      <w:r>
        <w:t>: Capitalize names of languages and nationalities (e.g., “French,” “Italian”) but lowercase other subjects (e.g., “math”).</w:t>
      </w:r>
    </w:p>
    <w:p w14:paraId="00000020" w14:textId="77777777" w:rsidR="00AF28B3" w:rsidRDefault="00000000">
      <w:r>
        <w:pict w14:anchorId="51A49E5D">
          <v:rect id="_x0000_i1030" style="width:0;height:1.5pt" o:hralign="center" o:hrstd="t" o:hr="t" fillcolor="#a0a0a0" stroked="f"/>
        </w:pict>
      </w:r>
    </w:p>
    <w:p w14:paraId="00000021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v0pedzh0cn7n" w:colFirst="0" w:colLast="0"/>
      <w:bookmarkEnd w:id="6"/>
      <w:r>
        <w:rPr>
          <w:b/>
          <w:color w:val="000000"/>
          <w:sz w:val="22"/>
          <w:szCs w:val="22"/>
        </w:rPr>
        <w:t>6. Punctuation Standards</w:t>
      </w:r>
    </w:p>
    <w:p w14:paraId="00000022" w14:textId="77777777" w:rsidR="00AF28B3" w:rsidRDefault="00000000">
      <w:pPr>
        <w:numPr>
          <w:ilvl w:val="0"/>
          <w:numId w:val="11"/>
        </w:numPr>
        <w:spacing w:before="240"/>
      </w:pPr>
      <w:r>
        <w:rPr>
          <w:b/>
        </w:rPr>
        <w:t>Oxford Comma</w:t>
      </w:r>
      <w:r>
        <w:t xml:space="preserve">: Avoid in simple lists (e.g., “red, yellow and blue”). Use in complex </w:t>
      </w:r>
      <w:proofErr w:type="gramStart"/>
      <w:r>
        <w:t>lists or</w:t>
      </w:r>
      <w:proofErr w:type="gramEnd"/>
      <w:r>
        <w:t xml:space="preserve"> where clarity requires.</w:t>
      </w:r>
    </w:p>
    <w:p w14:paraId="00000023" w14:textId="77777777" w:rsidR="00AF28B3" w:rsidRDefault="00000000">
      <w:pPr>
        <w:numPr>
          <w:ilvl w:val="0"/>
          <w:numId w:val="11"/>
        </w:numPr>
      </w:pPr>
      <w:r>
        <w:rPr>
          <w:b/>
        </w:rPr>
        <w:t>Quotation Marks</w:t>
      </w:r>
      <w:r>
        <w:t>:</w:t>
      </w:r>
    </w:p>
    <w:p w14:paraId="00000024" w14:textId="77777777" w:rsidR="00AF28B3" w:rsidRDefault="00000000">
      <w:pPr>
        <w:numPr>
          <w:ilvl w:val="1"/>
          <w:numId w:val="11"/>
        </w:numPr>
      </w:pPr>
      <w:r>
        <w:t>Periods and commas go inside quotation marks.</w:t>
      </w:r>
    </w:p>
    <w:p w14:paraId="00000025" w14:textId="77777777" w:rsidR="00AF28B3" w:rsidRDefault="00000000">
      <w:pPr>
        <w:numPr>
          <w:ilvl w:val="1"/>
          <w:numId w:val="11"/>
        </w:numPr>
      </w:pPr>
      <w:r>
        <w:t>Use quotation marks for titles of articles, reports, and publications; do not use for magazine or newspaper titles.</w:t>
      </w:r>
    </w:p>
    <w:p w14:paraId="00000026" w14:textId="77777777" w:rsidR="00AF28B3" w:rsidRDefault="00000000">
      <w:pPr>
        <w:numPr>
          <w:ilvl w:val="0"/>
          <w:numId w:val="11"/>
        </w:numPr>
      </w:pPr>
      <w:r>
        <w:rPr>
          <w:b/>
        </w:rPr>
        <w:t>Dashes</w:t>
      </w:r>
      <w:r>
        <w:t>:</w:t>
      </w:r>
    </w:p>
    <w:p w14:paraId="00000027" w14:textId="77777777" w:rsidR="00AF28B3" w:rsidRDefault="00000000">
      <w:pPr>
        <w:numPr>
          <w:ilvl w:val="1"/>
          <w:numId w:val="11"/>
        </w:numPr>
      </w:pPr>
      <w:r>
        <w:t xml:space="preserve">Use </w:t>
      </w:r>
      <w:proofErr w:type="spellStart"/>
      <w:r>
        <w:t>en</w:t>
      </w:r>
      <w:proofErr w:type="spellEnd"/>
      <w:r>
        <w:t xml:space="preserve"> dashes (–) for ranges (e.g., 5–10 years).</w:t>
      </w:r>
    </w:p>
    <w:p w14:paraId="00000028" w14:textId="77777777" w:rsidR="00AF28B3" w:rsidRDefault="00000000">
      <w:pPr>
        <w:numPr>
          <w:ilvl w:val="1"/>
          <w:numId w:val="11"/>
        </w:numPr>
      </w:pPr>
      <w:r>
        <w:t xml:space="preserve">Use </w:t>
      </w:r>
      <w:proofErr w:type="spellStart"/>
      <w:r>
        <w:t>em</w:t>
      </w:r>
      <w:proofErr w:type="spellEnd"/>
      <w:r>
        <w:t xml:space="preserve"> </w:t>
      </w:r>
      <w:proofErr w:type="gramStart"/>
      <w:r>
        <w:t>dashes (—</w:t>
      </w:r>
      <w:proofErr w:type="gramEnd"/>
      <w:r>
        <w:t>) for emphasis or breaks in thought, with spaces on each side.</w:t>
      </w:r>
    </w:p>
    <w:p w14:paraId="00000029" w14:textId="77777777" w:rsidR="00AF28B3" w:rsidRDefault="00000000">
      <w:pPr>
        <w:numPr>
          <w:ilvl w:val="0"/>
          <w:numId w:val="11"/>
        </w:numPr>
        <w:spacing w:after="240"/>
      </w:pPr>
      <w:r>
        <w:rPr>
          <w:b/>
        </w:rPr>
        <w:t>Hyphens</w:t>
      </w:r>
      <w:r>
        <w:t>: Use hyphens for compound modifiers before nouns (e.g., “high-quality products”) but not after (e.g., “the products are high quality”).</w:t>
      </w:r>
    </w:p>
    <w:p w14:paraId="0000002A" w14:textId="77777777" w:rsidR="00AF28B3" w:rsidRDefault="00000000">
      <w:r>
        <w:pict w14:anchorId="7C03587C">
          <v:rect id="_x0000_i1031" style="width:0;height:1.5pt" o:hralign="center" o:hrstd="t" o:hr="t" fillcolor="#a0a0a0" stroked="f"/>
        </w:pict>
      </w:r>
    </w:p>
    <w:p w14:paraId="0000002B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wyxpur44ga0p" w:colFirst="0" w:colLast="0"/>
      <w:bookmarkEnd w:id="7"/>
      <w:r>
        <w:rPr>
          <w:b/>
          <w:color w:val="000000"/>
          <w:sz w:val="22"/>
          <w:szCs w:val="22"/>
        </w:rPr>
        <w:t>7. Terminology and Consistency</w:t>
      </w:r>
    </w:p>
    <w:p w14:paraId="0000002C" w14:textId="77777777" w:rsidR="00AF28B3" w:rsidRDefault="00000000">
      <w:pPr>
        <w:numPr>
          <w:ilvl w:val="0"/>
          <w:numId w:val="3"/>
        </w:numPr>
        <w:spacing w:before="240"/>
      </w:pPr>
      <w:r>
        <w:rPr>
          <w:b/>
        </w:rPr>
        <w:t>Hemp</w:t>
      </w:r>
      <w:r>
        <w:t>: Cannabis with less than 0.3% THC by dry weight. Use “hemp” specifically and avoid “cannabis” unless context requires.</w:t>
      </w:r>
    </w:p>
    <w:p w14:paraId="0000002D" w14:textId="77777777" w:rsidR="00AF28B3" w:rsidRDefault="00000000">
      <w:pPr>
        <w:numPr>
          <w:ilvl w:val="0"/>
          <w:numId w:val="3"/>
        </w:numPr>
      </w:pPr>
      <w:r>
        <w:rPr>
          <w:b/>
        </w:rPr>
        <w:t>Synthetic THC</w:t>
      </w:r>
      <w:r>
        <w:t>: Lab-created THC compounds; avoid using “hemp-derived” unless necessary for clarity.</w:t>
      </w:r>
    </w:p>
    <w:p w14:paraId="0000002E" w14:textId="77777777" w:rsidR="00AF28B3" w:rsidRDefault="00000000">
      <w:pPr>
        <w:numPr>
          <w:ilvl w:val="0"/>
          <w:numId w:val="3"/>
        </w:numPr>
      </w:pPr>
      <w:r>
        <w:rPr>
          <w:b/>
        </w:rPr>
        <w:t>Intoxicating Cannabinoids</w:t>
      </w:r>
      <w:r>
        <w:t>: Encompasses psychoactive cannabinoids from hemp, such as delta-8 and delta-10.</w:t>
      </w:r>
    </w:p>
    <w:p w14:paraId="0000002F" w14:textId="77777777" w:rsidR="00AF28B3" w:rsidRDefault="00000000">
      <w:pPr>
        <w:numPr>
          <w:ilvl w:val="0"/>
          <w:numId w:val="3"/>
        </w:numPr>
      </w:pPr>
      <w:r>
        <w:rPr>
          <w:b/>
        </w:rPr>
        <w:t>State Authority</w:t>
      </w:r>
      <w:r>
        <w:t>: Preferred term for ATACH’s stance on state-level control over intoxicating cannabinoids.</w:t>
      </w:r>
    </w:p>
    <w:p w14:paraId="00000030" w14:textId="77777777" w:rsidR="00AF28B3" w:rsidRDefault="00000000">
      <w:pPr>
        <w:numPr>
          <w:ilvl w:val="0"/>
          <w:numId w:val="3"/>
        </w:numPr>
      </w:pPr>
      <w:r>
        <w:rPr>
          <w:b/>
        </w:rPr>
        <w:lastRenderedPageBreak/>
        <w:t>Legal Terms</w:t>
      </w:r>
      <w:r>
        <w:t>:</w:t>
      </w:r>
    </w:p>
    <w:p w14:paraId="00000031" w14:textId="77777777" w:rsidR="00AF28B3" w:rsidRDefault="00000000">
      <w:pPr>
        <w:numPr>
          <w:ilvl w:val="1"/>
          <w:numId w:val="3"/>
        </w:numPr>
      </w:pPr>
      <w:r>
        <w:rPr>
          <w:b/>
        </w:rPr>
        <w:t>Prohibited</w:t>
      </w:r>
      <w:r>
        <w:t>: States that ban specific hemp-derived intoxicants.</w:t>
      </w:r>
    </w:p>
    <w:p w14:paraId="00000032" w14:textId="77777777" w:rsidR="00AF28B3" w:rsidRDefault="00000000">
      <w:pPr>
        <w:numPr>
          <w:ilvl w:val="1"/>
          <w:numId w:val="3"/>
        </w:numPr>
      </w:pPr>
      <w:r>
        <w:rPr>
          <w:b/>
        </w:rPr>
        <w:t>Regulated</w:t>
      </w:r>
      <w:r>
        <w:t>: States with specific regulatory frameworks for hemp products.</w:t>
      </w:r>
    </w:p>
    <w:p w14:paraId="00000033" w14:textId="77777777" w:rsidR="00AF28B3" w:rsidRDefault="00000000">
      <w:pPr>
        <w:numPr>
          <w:ilvl w:val="1"/>
          <w:numId w:val="3"/>
        </w:numPr>
        <w:spacing w:after="240"/>
      </w:pPr>
      <w:r>
        <w:rPr>
          <w:b/>
        </w:rPr>
        <w:t>Gray Market</w:t>
      </w:r>
      <w:r>
        <w:t>: Refers to states with unregulated or ambiguously regulated markets for intoxicating cannabinoids.</w:t>
      </w:r>
    </w:p>
    <w:p w14:paraId="00000034" w14:textId="77777777" w:rsidR="00AF28B3" w:rsidRDefault="00000000">
      <w:r>
        <w:pict w14:anchorId="2DA5B5F1">
          <v:rect id="_x0000_i1032" style="width:0;height:1.5pt" o:hralign="center" o:hrstd="t" o:hr="t" fillcolor="#a0a0a0" stroked="f"/>
        </w:pict>
      </w:r>
    </w:p>
    <w:p w14:paraId="00000035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9a2ae5j3o441" w:colFirst="0" w:colLast="0"/>
      <w:bookmarkEnd w:id="8"/>
      <w:r>
        <w:rPr>
          <w:b/>
          <w:color w:val="000000"/>
          <w:sz w:val="22"/>
          <w:szCs w:val="22"/>
        </w:rPr>
        <w:t>8. Numbers and Units</w:t>
      </w:r>
    </w:p>
    <w:p w14:paraId="00000036" w14:textId="77777777" w:rsidR="00AF28B3" w:rsidRDefault="00000000">
      <w:pPr>
        <w:numPr>
          <w:ilvl w:val="0"/>
          <w:numId w:val="9"/>
        </w:numPr>
        <w:spacing w:before="240"/>
      </w:pPr>
      <w:r>
        <w:rPr>
          <w:b/>
        </w:rPr>
        <w:t>Ages</w:t>
      </w:r>
      <w:r>
        <w:t>: Always use numerals (e.g., “7-year-old”).</w:t>
      </w:r>
    </w:p>
    <w:p w14:paraId="00000037" w14:textId="77777777" w:rsidR="00AF28B3" w:rsidRDefault="00000000">
      <w:pPr>
        <w:numPr>
          <w:ilvl w:val="0"/>
          <w:numId w:val="9"/>
        </w:numPr>
      </w:pPr>
      <w:r>
        <w:rPr>
          <w:b/>
        </w:rPr>
        <w:t>Measurements</w:t>
      </w:r>
      <w:r>
        <w:t>: Use numerals with units, spelled out (e.g., “6 miles,” “5-foot-3”).</w:t>
      </w:r>
    </w:p>
    <w:p w14:paraId="00000038" w14:textId="77777777" w:rsidR="00AF28B3" w:rsidRDefault="00000000">
      <w:pPr>
        <w:numPr>
          <w:ilvl w:val="0"/>
          <w:numId w:val="9"/>
        </w:numPr>
        <w:spacing w:after="240"/>
      </w:pPr>
      <w:r>
        <w:rPr>
          <w:b/>
        </w:rPr>
        <w:t>Monetary Values</w:t>
      </w:r>
      <w:r>
        <w:t>: Use the dollar symbol for amounts (e.g., $5, $1.5 million); avoid extra zeros (e.g., $5, not $5.00).</w:t>
      </w:r>
    </w:p>
    <w:p w14:paraId="00000039" w14:textId="77777777" w:rsidR="00AF28B3" w:rsidRDefault="00000000">
      <w:r>
        <w:pict w14:anchorId="1BE0D74C">
          <v:rect id="_x0000_i1033" style="width:0;height:1.5pt" o:hralign="center" o:hrstd="t" o:hr="t" fillcolor="#a0a0a0" stroked="f"/>
        </w:pict>
      </w:r>
    </w:p>
    <w:p w14:paraId="0000003A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xqajvidtioj5" w:colFirst="0" w:colLast="0"/>
      <w:bookmarkEnd w:id="9"/>
      <w:r>
        <w:rPr>
          <w:b/>
          <w:color w:val="000000"/>
          <w:sz w:val="22"/>
          <w:szCs w:val="22"/>
        </w:rPr>
        <w:t>9. Document-Specific Guidelines</w:t>
      </w:r>
    </w:p>
    <w:p w14:paraId="0000003B" w14:textId="77777777" w:rsidR="00AF28B3" w:rsidRDefault="00000000">
      <w:pPr>
        <w:numPr>
          <w:ilvl w:val="0"/>
          <w:numId w:val="4"/>
        </w:numPr>
        <w:spacing w:before="240"/>
      </w:pPr>
      <w:r>
        <w:rPr>
          <w:b/>
        </w:rPr>
        <w:t>Reports on Congressional Members</w:t>
      </w:r>
      <w:r>
        <w:t>:</w:t>
      </w:r>
    </w:p>
    <w:p w14:paraId="0000003C" w14:textId="77777777" w:rsidR="00AF28B3" w:rsidRDefault="00000000">
      <w:pPr>
        <w:numPr>
          <w:ilvl w:val="1"/>
          <w:numId w:val="4"/>
        </w:numPr>
      </w:pPr>
      <w:r>
        <w:t>Follow the template from “Instructions - Report on Member of Congress.” Include all sections, using “Not Available” if data is missing.</w:t>
      </w:r>
    </w:p>
    <w:p w14:paraId="0000003D" w14:textId="77777777" w:rsidR="00AF28B3" w:rsidRDefault="00000000">
      <w:pPr>
        <w:numPr>
          <w:ilvl w:val="1"/>
          <w:numId w:val="4"/>
        </w:numPr>
      </w:pPr>
      <w:r>
        <w:t>Avoid subjective language when summarizing political positions or votes; use full sentences for statements and “Yea”</w:t>
      </w:r>
      <w:proofErr w:type="gramStart"/>
      <w:r>
        <w:t>/“</w:t>
      </w:r>
      <w:proofErr w:type="gramEnd"/>
      <w:r>
        <w:t>Nay” for recorded votes.</w:t>
      </w:r>
    </w:p>
    <w:p w14:paraId="0000003E" w14:textId="77777777" w:rsidR="00AF28B3" w:rsidRDefault="00000000">
      <w:pPr>
        <w:numPr>
          <w:ilvl w:val="0"/>
          <w:numId w:val="4"/>
        </w:numPr>
      </w:pPr>
      <w:r>
        <w:rPr>
          <w:b/>
        </w:rPr>
        <w:t>Hemp Policy Analysis</w:t>
      </w:r>
      <w:r>
        <w:t>:</w:t>
      </w:r>
    </w:p>
    <w:p w14:paraId="0000003F" w14:textId="77777777" w:rsidR="00AF28B3" w:rsidRDefault="00000000">
      <w:pPr>
        <w:numPr>
          <w:ilvl w:val="1"/>
          <w:numId w:val="4"/>
        </w:numPr>
      </w:pPr>
      <w:r>
        <w:t>Use the “Hemp Criteria” framework to analyze state or federal bills. Present each criterion in sequence, using plain language and state-level references.</w:t>
      </w:r>
    </w:p>
    <w:p w14:paraId="00000040" w14:textId="77777777" w:rsidR="00AF28B3" w:rsidRDefault="00000000">
      <w:pPr>
        <w:numPr>
          <w:ilvl w:val="1"/>
          <w:numId w:val="4"/>
        </w:numPr>
      </w:pPr>
      <w:r>
        <w:t>Maintain consistent terminology in categorizing state policies (e.g., “Prohibited,” “Regulated - Hemp-Specific”).</w:t>
      </w:r>
    </w:p>
    <w:p w14:paraId="00000041" w14:textId="77777777" w:rsidR="00AF28B3" w:rsidRDefault="00000000">
      <w:pPr>
        <w:numPr>
          <w:ilvl w:val="0"/>
          <w:numId w:val="4"/>
        </w:numPr>
      </w:pPr>
      <w:r>
        <w:rPr>
          <w:b/>
        </w:rPr>
        <w:t>Public Statements and Press Releases</w:t>
      </w:r>
      <w:r>
        <w:t>:</w:t>
      </w:r>
    </w:p>
    <w:p w14:paraId="00000042" w14:textId="77777777" w:rsidR="00AF28B3" w:rsidRDefault="00000000">
      <w:pPr>
        <w:numPr>
          <w:ilvl w:val="1"/>
          <w:numId w:val="4"/>
        </w:numPr>
      </w:pPr>
      <w:r>
        <w:t>Maintain a formal, factual tone with no exclamation points or emotive language.</w:t>
      </w:r>
    </w:p>
    <w:p w14:paraId="00000043" w14:textId="77777777" w:rsidR="00AF28B3" w:rsidRDefault="00000000">
      <w:pPr>
        <w:numPr>
          <w:ilvl w:val="1"/>
          <w:numId w:val="4"/>
        </w:numPr>
      </w:pPr>
      <w:r>
        <w:t>Outline ATACH’s position with specific legislative references (e.g., “The Miller Amendment in the House version of the 2023 Farm Bill”).</w:t>
      </w:r>
    </w:p>
    <w:p w14:paraId="00000044" w14:textId="77777777" w:rsidR="00AF28B3" w:rsidRDefault="00000000">
      <w:pPr>
        <w:numPr>
          <w:ilvl w:val="0"/>
          <w:numId w:val="4"/>
        </w:numPr>
      </w:pPr>
      <w:r>
        <w:rPr>
          <w:b/>
        </w:rPr>
        <w:t>Internal Memos and Informal Communication</w:t>
      </w:r>
      <w:r>
        <w:t>:</w:t>
      </w:r>
    </w:p>
    <w:p w14:paraId="00000045" w14:textId="77777777" w:rsidR="00AF28B3" w:rsidRDefault="00000000">
      <w:pPr>
        <w:numPr>
          <w:ilvl w:val="1"/>
          <w:numId w:val="4"/>
        </w:numPr>
      </w:pPr>
      <w:r>
        <w:t>Use a respectful, straightforward style. Subtle humor is permitted but should not detract from the professional tone.</w:t>
      </w:r>
    </w:p>
    <w:p w14:paraId="00000046" w14:textId="77777777" w:rsidR="00AF28B3" w:rsidRDefault="00000000">
      <w:pPr>
        <w:numPr>
          <w:ilvl w:val="1"/>
          <w:numId w:val="4"/>
        </w:numPr>
        <w:spacing w:after="240"/>
      </w:pPr>
      <w:r>
        <w:t>Keep language constructive when offering suggestions (e.g., “One alternative could be…”).</w:t>
      </w:r>
    </w:p>
    <w:p w14:paraId="00000047" w14:textId="77777777" w:rsidR="00AF28B3" w:rsidRDefault="00000000">
      <w:r>
        <w:pict w14:anchorId="29A3ACF5">
          <v:rect id="_x0000_i1034" style="width:0;height:1.5pt" o:hralign="center" o:hrstd="t" o:hr="t" fillcolor="#a0a0a0" stroked="f"/>
        </w:pict>
      </w:r>
    </w:p>
    <w:p w14:paraId="00000048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j1u4f3afy5kb" w:colFirst="0" w:colLast="0"/>
      <w:bookmarkEnd w:id="10"/>
      <w:r>
        <w:rPr>
          <w:b/>
          <w:color w:val="000000"/>
          <w:sz w:val="22"/>
          <w:szCs w:val="22"/>
        </w:rPr>
        <w:t>10. Citation and Source Protocol</w:t>
      </w:r>
    </w:p>
    <w:p w14:paraId="00000049" w14:textId="77777777" w:rsidR="00AF28B3" w:rsidRDefault="00000000">
      <w:pPr>
        <w:numPr>
          <w:ilvl w:val="0"/>
          <w:numId w:val="2"/>
        </w:numPr>
        <w:spacing w:before="240"/>
      </w:pPr>
      <w:r>
        <w:rPr>
          <w:b/>
        </w:rPr>
        <w:t>External Documents</w:t>
      </w:r>
      <w:r>
        <w:t>: Use Bluebook citation for statutory and regulatory references.</w:t>
      </w:r>
    </w:p>
    <w:p w14:paraId="0000004A" w14:textId="77777777" w:rsidR="00AF28B3" w:rsidRDefault="00000000">
      <w:pPr>
        <w:numPr>
          <w:ilvl w:val="0"/>
          <w:numId w:val="2"/>
        </w:numPr>
      </w:pPr>
      <w:r>
        <w:rPr>
          <w:b/>
        </w:rPr>
        <w:t>Internal Drafts</w:t>
      </w:r>
      <w:r>
        <w:t>: Informal references are acceptable but should include statute numbers when available.</w:t>
      </w:r>
    </w:p>
    <w:p w14:paraId="0000004B" w14:textId="77777777" w:rsidR="00AF28B3" w:rsidRDefault="00000000">
      <w:pPr>
        <w:numPr>
          <w:ilvl w:val="0"/>
          <w:numId w:val="2"/>
        </w:numPr>
        <w:spacing w:after="240"/>
      </w:pPr>
      <w:r>
        <w:rPr>
          <w:b/>
        </w:rPr>
        <w:lastRenderedPageBreak/>
        <w:t>Quotations</w:t>
      </w:r>
      <w:r>
        <w:t xml:space="preserve">: Attribute all quotations </w:t>
      </w:r>
      <w:proofErr w:type="gramStart"/>
      <w:r>
        <w:t>accurately, and</w:t>
      </w:r>
      <w:proofErr w:type="gramEnd"/>
      <w:r>
        <w:t xml:space="preserve"> use sparingly to support factual points.</w:t>
      </w:r>
    </w:p>
    <w:p w14:paraId="0000004C" w14:textId="77777777" w:rsidR="00AF28B3" w:rsidRDefault="00000000">
      <w:r>
        <w:pict w14:anchorId="616E61DA">
          <v:rect id="_x0000_i1035" style="width:0;height:1.5pt" o:hralign="center" o:hrstd="t" o:hr="t" fillcolor="#a0a0a0" stroked="f"/>
        </w:pict>
      </w:r>
    </w:p>
    <w:p w14:paraId="0000004D" w14:textId="77777777" w:rsidR="00AF28B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uk8pt68pp6b3" w:colFirst="0" w:colLast="0"/>
      <w:bookmarkEnd w:id="11"/>
      <w:r>
        <w:rPr>
          <w:b/>
          <w:color w:val="000000"/>
          <w:sz w:val="22"/>
          <w:szCs w:val="22"/>
        </w:rPr>
        <w:t>11. Key Terminology for Consistency</w:t>
      </w:r>
    </w:p>
    <w:p w14:paraId="0000004E" w14:textId="77777777" w:rsidR="00AF28B3" w:rsidRDefault="00000000">
      <w:pPr>
        <w:numPr>
          <w:ilvl w:val="0"/>
          <w:numId w:val="5"/>
        </w:numPr>
        <w:spacing w:before="240"/>
      </w:pPr>
      <w:r>
        <w:rPr>
          <w:b/>
        </w:rPr>
        <w:t>Hemp and Cannabis Classification</w:t>
      </w:r>
      <w:r>
        <w:t>:</w:t>
      </w:r>
    </w:p>
    <w:p w14:paraId="0000004F" w14:textId="77777777" w:rsidR="00AF28B3" w:rsidRDefault="00000000">
      <w:pPr>
        <w:numPr>
          <w:ilvl w:val="1"/>
          <w:numId w:val="5"/>
        </w:numPr>
      </w:pPr>
      <w:r>
        <w:rPr>
          <w:i/>
        </w:rPr>
        <w:t>Hemp</w:t>
      </w:r>
      <w:r>
        <w:t>: Defined as cannabis with &lt;0.3% THC; legally distinct from “marijuana.”</w:t>
      </w:r>
    </w:p>
    <w:p w14:paraId="00000050" w14:textId="77777777" w:rsidR="00AF28B3" w:rsidRDefault="00000000">
      <w:pPr>
        <w:numPr>
          <w:ilvl w:val="1"/>
          <w:numId w:val="5"/>
        </w:numPr>
      </w:pPr>
      <w:r>
        <w:rPr>
          <w:i/>
        </w:rPr>
        <w:t>Cannabis</w:t>
      </w:r>
      <w:r>
        <w:t>: Broad term covering low-THC hemp and high-THC marijuana. In ATACH contexts, distinguish these unless synonymous usage is necessary.</w:t>
      </w:r>
    </w:p>
    <w:p w14:paraId="00000051" w14:textId="77777777" w:rsidR="00AF28B3" w:rsidRDefault="00000000">
      <w:pPr>
        <w:numPr>
          <w:ilvl w:val="0"/>
          <w:numId w:val="5"/>
        </w:numPr>
      </w:pPr>
      <w:r>
        <w:rPr>
          <w:b/>
        </w:rPr>
        <w:t>THC Derivatives</w:t>
      </w:r>
      <w:r>
        <w:t>:</w:t>
      </w:r>
    </w:p>
    <w:p w14:paraId="00000052" w14:textId="77777777" w:rsidR="00AF28B3" w:rsidRDefault="00000000">
      <w:pPr>
        <w:numPr>
          <w:ilvl w:val="1"/>
          <w:numId w:val="5"/>
        </w:numPr>
      </w:pPr>
      <w:r>
        <w:rPr>
          <w:i/>
        </w:rPr>
        <w:t>Synthetic THC</w:t>
      </w:r>
      <w:r>
        <w:t>: THC synthesized in a lab, often from CBD derived from hemp; usually prohibited.</w:t>
      </w:r>
    </w:p>
    <w:p w14:paraId="00000053" w14:textId="77777777" w:rsidR="00AF28B3" w:rsidRDefault="00000000">
      <w:pPr>
        <w:numPr>
          <w:ilvl w:val="1"/>
          <w:numId w:val="5"/>
        </w:numPr>
      </w:pPr>
      <w:r>
        <w:rPr>
          <w:i/>
        </w:rPr>
        <w:t>Delta-8 THC</w:t>
      </w:r>
      <w:r>
        <w:t>: Synthetic psychoactive cannabinoid derived from hemp.</w:t>
      </w:r>
    </w:p>
    <w:p w14:paraId="00000054" w14:textId="77777777" w:rsidR="00AF28B3" w:rsidRDefault="00000000">
      <w:pPr>
        <w:numPr>
          <w:ilvl w:val="1"/>
          <w:numId w:val="5"/>
        </w:numPr>
      </w:pPr>
      <w:r>
        <w:rPr>
          <w:i/>
        </w:rPr>
        <w:t>Intoxicating Cannabinoids</w:t>
      </w:r>
      <w:r>
        <w:t>: Encompasses all psychoactive cannabinoids, including delta-9, delta-8, delta-10, and others.</w:t>
      </w:r>
    </w:p>
    <w:p w14:paraId="00000055" w14:textId="77777777" w:rsidR="00AF28B3" w:rsidRDefault="00000000">
      <w:pPr>
        <w:numPr>
          <w:ilvl w:val="0"/>
          <w:numId w:val="5"/>
        </w:numPr>
      </w:pPr>
      <w:r>
        <w:rPr>
          <w:b/>
        </w:rPr>
        <w:t>Regulatory Classifications</w:t>
      </w:r>
      <w:r>
        <w:t>:</w:t>
      </w:r>
    </w:p>
    <w:p w14:paraId="00000056" w14:textId="77777777" w:rsidR="00AF28B3" w:rsidRDefault="00000000">
      <w:pPr>
        <w:numPr>
          <w:ilvl w:val="1"/>
          <w:numId w:val="5"/>
        </w:numPr>
      </w:pPr>
      <w:r>
        <w:rPr>
          <w:i/>
        </w:rPr>
        <w:t>Legalization State</w:t>
      </w:r>
      <w:r>
        <w:t>: States with recreational (adult-use) cannabis laws.</w:t>
      </w:r>
    </w:p>
    <w:p w14:paraId="00000057" w14:textId="77777777" w:rsidR="00AF28B3" w:rsidRDefault="00000000">
      <w:pPr>
        <w:numPr>
          <w:ilvl w:val="1"/>
          <w:numId w:val="5"/>
        </w:numPr>
      </w:pPr>
      <w:r>
        <w:rPr>
          <w:i/>
        </w:rPr>
        <w:t>Medical Marijuana State</w:t>
      </w:r>
      <w:r>
        <w:t>: States with cannabis laws limited to medical use.</w:t>
      </w:r>
    </w:p>
    <w:p w14:paraId="00000058" w14:textId="77777777" w:rsidR="00AF28B3" w:rsidRDefault="00000000">
      <w:pPr>
        <w:numPr>
          <w:ilvl w:val="1"/>
          <w:numId w:val="5"/>
        </w:numPr>
      </w:pPr>
      <w:r>
        <w:rPr>
          <w:i/>
        </w:rPr>
        <w:t>Gray Market</w:t>
      </w:r>
      <w:r>
        <w:t>: States allowing hemp products without addressing intoxicants.</w:t>
      </w:r>
    </w:p>
    <w:p w14:paraId="00000059" w14:textId="77777777" w:rsidR="00AF28B3" w:rsidRDefault="00000000">
      <w:pPr>
        <w:numPr>
          <w:ilvl w:val="0"/>
          <w:numId w:val="5"/>
        </w:numPr>
      </w:pPr>
      <w:r>
        <w:rPr>
          <w:b/>
        </w:rPr>
        <w:t>Advocacy and Policy Terms</w:t>
      </w:r>
      <w:r>
        <w:t>:</w:t>
      </w:r>
    </w:p>
    <w:p w14:paraId="0000005A" w14:textId="77777777" w:rsidR="00AF28B3" w:rsidRDefault="00000000">
      <w:pPr>
        <w:numPr>
          <w:ilvl w:val="1"/>
          <w:numId w:val="5"/>
        </w:numPr>
      </w:pPr>
      <w:r>
        <w:rPr>
          <w:i/>
        </w:rPr>
        <w:t>State Authority</w:t>
      </w:r>
      <w:r>
        <w:t>: ATACH’s stance that states should regulate intoxicating cannabinoids.</w:t>
      </w:r>
    </w:p>
    <w:p w14:paraId="0000005B" w14:textId="77777777" w:rsidR="00AF28B3" w:rsidRDefault="00000000">
      <w:pPr>
        <w:numPr>
          <w:ilvl w:val="1"/>
          <w:numId w:val="5"/>
        </w:numPr>
      </w:pPr>
      <w:r>
        <w:rPr>
          <w:i/>
        </w:rPr>
        <w:t>Public Health Risks</w:t>
      </w:r>
      <w:r>
        <w:t>: Refers to the adverse health impacts of unregulated hemp intoxicants.</w:t>
      </w:r>
    </w:p>
    <w:p w14:paraId="0000005C" w14:textId="77777777" w:rsidR="00AF28B3" w:rsidRDefault="00000000">
      <w:pPr>
        <w:numPr>
          <w:ilvl w:val="1"/>
          <w:numId w:val="5"/>
        </w:numPr>
        <w:spacing w:after="240"/>
      </w:pPr>
      <w:r>
        <w:rPr>
          <w:i/>
        </w:rPr>
        <w:t>Market Integrity</w:t>
      </w:r>
      <w:r>
        <w:t>: ATACH’s goal of separating non-intoxicating and intoxicating hemp products.</w:t>
      </w:r>
    </w:p>
    <w:p w14:paraId="0000005D" w14:textId="77777777" w:rsidR="00AF28B3" w:rsidRDefault="00AF28B3"/>
    <w:p w14:paraId="0000005E" w14:textId="77777777" w:rsidR="00AF28B3" w:rsidRDefault="00AF28B3"/>
    <w:sectPr w:rsidR="00AF28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40D4"/>
    <w:multiLevelType w:val="hybridMultilevel"/>
    <w:tmpl w:val="6770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6C75"/>
    <w:multiLevelType w:val="multilevel"/>
    <w:tmpl w:val="39AC0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F3792"/>
    <w:multiLevelType w:val="multilevel"/>
    <w:tmpl w:val="23C45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C060FE"/>
    <w:multiLevelType w:val="multilevel"/>
    <w:tmpl w:val="5CE2E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676DFD"/>
    <w:multiLevelType w:val="multilevel"/>
    <w:tmpl w:val="9B80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33AB8"/>
    <w:multiLevelType w:val="multilevel"/>
    <w:tmpl w:val="C8AE6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D24A0"/>
    <w:multiLevelType w:val="multilevel"/>
    <w:tmpl w:val="A22E2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94F4F"/>
    <w:multiLevelType w:val="multilevel"/>
    <w:tmpl w:val="A2507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AE4775"/>
    <w:multiLevelType w:val="multilevel"/>
    <w:tmpl w:val="0D967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7806E2"/>
    <w:multiLevelType w:val="multilevel"/>
    <w:tmpl w:val="55BCA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02E82"/>
    <w:multiLevelType w:val="multilevel"/>
    <w:tmpl w:val="B9046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873FFF"/>
    <w:multiLevelType w:val="multilevel"/>
    <w:tmpl w:val="C5C0D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389718">
    <w:abstractNumId w:val="5"/>
  </w:num>
  <w:num w:numId="2" w16cid:durableId="1320839872">
    <w:abstractNumId w:val="4"/>
  </w:num>
  <w:num w:numId="3" w16cid:durableId="1422411331">
    <w:abstractNumId w:val="1"/>
  </w:num>
  <w:num w:numId="4" w16cid:durableId="1801873551">
    <w:abstractNumId w:val="6"/>
  </w:num>
  <w:num w:numId="5" w16cid:durableId="364987278">
    <w:abstractNumId w:val="3"/>
  </w:num>
  <w:num w:numId="6" w16cid:durableId="1565876771">
    <w:abstractNumId w:val="8"/>
  </w:num>
  <w:num w:numId="7" w16cid:durableId="1644119261">
    <w:abstractNumId w:val="10"/>
  </w:num>
  <w:num w:numId="8" w16cid:durableId="1029985047">
    <w:abstractNumId w:val="9"/>
  </w:num>
  <w:num w:numId="9" w16cid:durableId="1183323097">
    <w:abstractNumId w:val="2"/>
  </w:num>
  <w:num w:numId="10" w16cid:durableId="1500000076">
    <w:abstractNumId w:val="7"/>
  </w:num>
  <w:num w:numId="11" w16cid:durableId="709720461">
    <w:abstractNumId w:val="11"/>
  </w:num>
  <w:num w:numId="12" w16cid:durableId="7487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B3"/>
    <w:rsid w:val="00AF28B3"/>
    <w:rsid w:val="00C321A8"/>
    <w:rsid w:val="00D0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75D1"/>
  <w15:docId w15:val="{E5AE6539-3A28-44BC-8E1A-7C28CB4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Lindsey</cp:lastModifiedBy>
  <cp:revision>2</cp:revision>
  <dcterms:created xsi:type="dcterms:W3CDTF">2024-11-02T19:38:00Z</dcterms:created>
  <dcterms:modified xsi:type="dcterms:W3CDTF">2024-11-02T19:43:00Z</dcterms:modified>
</cp:coreProperties>
</file>