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6E4A"/>
          <w:sz w:val="48"/>
          <w:szCs w:val="48"/>
        </w:rPr>
        <w:t xml:space="preserve">AMOJI</w:t>
      </w:r>
    </w:p>
    <w:p>
      <w:pPr>
        <w:spacing w:after="300"/>
      </w:pPr>
      <w:r>
        <w:rPr>
          <w:i/>
          <w:iCs/>
          <w:color w:val="5C7268"/>
          <w:sz w:val="22"/>
          <w:szCs w:val="22"/>
        </w:rPr>
        <w:t xml:space="preserve">A Bridge Between AI and Human — Technology Incubation Application</w:t>
      </w:r>
    </w:p>
    <w:p>
      <w:pPr>
        <w:pStyle w:val="Heading1"/>
        <w:spacing w:after="120" w:before="300"/>
      </w:pPr>
      <w:r>
        <w:rPr>
          <w:b/>
          <w:bCs/>
          <w:color w:val="1F6E4A"/>
          <w:sz w:val="30"/>
          <w:szCs w:val="30"/>
        </w:rPr>
        <w:t xml:space="preserve">1. Executive Summary</w:t>
      </w:r>
    </w:p>
    <w:p>
      <w:pPr>
        <w:spacing w:after="140"/>
      </w:pPr>
      <w:r>
        <w:rPr>
          <w:sz w:val="21"/>
          <w:szCs w:val="21"/>
        </w:rPr>
        <w:t xml:space="preserve">Amoji is a rule-based expression and behavior engine that converts AI-generated emotional intent into full facial, body, and gesture performance data for digital characters and robots. Built on 20 years of professional character animation expertise combined with published psychology, performance-capture, and human-computer-interaction research, Amoji addresses a gap in the current AI-character market: existing systems either detect human emotion or apply generic, static expression templates — very few generate psychologically grounded, personality-consistent performance.</w:t>
      </w:r>
    </w:p>
    <w:p>
      <w:pPr>
        <w:spacing w:after="140"/>
      </w:pPr>
      <w:r>
        <w:rPr>
          <w:sz w:val="21"/>
          <w:szCs w:val="21"/>
        </w:rPr>
        <w:t xml:space="preserve">The engine is architecturally separated from any biometric user-detection function, positioning it as a pure generation layer that is licensable to LLM platforms, robotics manufacturers, and consumer application developers without inheriting the regulatory burden associated with emotion-detection systems.</w:t>
      </w:r>
    </w:p>
    <w:p>
      <w:pPr>
        <w:pStyle w:val="Heading1"/>
        <w:spacing w:after="120" w:before="300"/>
      </w:pPr>
      <w:r>
        <w:rPr>
          <w:b/>
          <w:bCs/>
          <w:color w:val="1F6E4A"/>
          <w:sz w:val="30"/>
          <w:szCs w:val="30"/>
        </w:rPr>
        <w:t xml:space="preserve">2. Problem &amp; Solution</w:t>
      </w:r>
    </w:p>
    <w:p>
      <w:pPr>
        <w:pStyle w:val="Heading2"/>
        <w:spacing w:after="100" w:before="200"/>
      </w:pPr>
      <w:r>
        <w:rPr>
          <w:b/>
          <w:bCs/>
          <w:color w:val="1F6E4A"/>
          <w:sz w:val="24"/>
          <w:szCs w:val="24"/>
        </w:rPr>
        <w:t xml:space="preserve">The Problem</w:t>
      </w:r>
    </w:p>
    <w:p>
      <w:pPr>
        <w:spacing w:after="140"/>
      </w:pPr>
      <w:r>
        <w:rPr>
          <w:sz w:val="21"/>
          <w:szCs w:val="21"/>
        </w:rPr>
        <w:t xml:space="preserve">AI characters, digital humans, and social robots increasingly need to express emotion, but most current systems produce flat, robotic, or inconsistent performance — particularly during conversational pauses, emotional transitions, and AI processing delays. Recent high-profile robotics launches (2025-2026) have received mixed critical reception specifically on this point, with some described as "climbing out of" the uncanny valley and others as "unsettling" despite similar underlying hardware specifications.</w:t>
      </w:r>
    </w:p>
    <w:p>
      <w:pPr>
        <w:pStyle w:val="Heading2"/>
        <w:spacing w:after="100" w:before="200"/>
      </w:pPr>
      <w:r>
        <w:rPr>
          <w:b/>
          <w:bCs/>
          <w:color w:val="1F6E4A"/>
          <w:sz w:val="24"/>
          <w:szCs w:val="24"/>
        </w:rPr>
        <w:t xml:space="preserve">The Solution</w:t>
      </w:r>
    </w:p>
    <w:p>
      <w:pPr>
        <w:spacing w:after="140"/>
      </w:pPr>
      <w:r>
        <w:rPr>
          <w:sz w:val="21"/>
          <w:szCs w:val="21"/>
        </w:rPr>
        <w:t xml:space="preserve">Amoji provides a layered, deterministic engine spanning: compound emotion generation (region-specific blending rather than naive averaging), a background "mood" system that subtly biases displayed emotion over time, natural micro-expression timing, eye-gaze and micro-saccade behavior, breathing and postural systems, gesture layering, gait, and a persona parameter system that mathematically derives behavioral limits for any character archetype — human, animal, anthropomorphized object, or mechanical robot — without per-character redesign.</w:t>
      </w:r>
    </w:p>
    <w:p>
      <w:pPr>
        <w:pStyle w:val="Heading1"/>
        <w:spacing w:after="120" w:before="300"/>
      </w:pPr>
      <w:r>
        <w:rPr>
          <w:b/>
          <w:bCs/>
          <w:color w:val="1F6E4A"/>
          <w:sz w:val="30"/>
          <w:szCs w:val="30"/>
        </w:rPr>
        <w:t xml:space="preserve">3. Technology &amp; Innovation</w:t>
      </w:r>
    </w:p>
    <w:p>
      <w:pPr>
        <w:spacing w:after="140"/>
      </w:pPr>
      <w:r>
        <w:rPr>
          <w:sz w:val="21"/>
          <w:szCs w:val="21"/>
        </w:rPr>
        <w:t xml:space="preserve">The engine's architecture separates an abstract "emotion intensity" layer from a concrete "rendering" layer, allowing the identical decision logic to drive outputs ranging from a minimal glowing-orb interface (comparable to existing voice-assistant UI) through stylized 2D/3D characters to photorealistic digital humans and physical robot actuators — a single backend, fully pluggable presentation layer.</w:t>
      </w:r>
    </w:p>
    <w:p>
      <w:pPr>
        <w:spacing w:after="140"/>
      </w:pPr>
      <w:r>
        <w:rPr>
          <w:sz w:val="21"/>
          <w:szCs w:val="21"/>
        </w:rPr>
        <w:t xml:space="preserve">Core technical assets (summarized; full specification retained as trade secret):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77-point facial expression system and 117-point full-body marker system, each cross-referenced to specific anatomical muscle groups and nerve pathways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compound-emotion engine grounded in published affective-science research (Du &amp; Martinez, 2014) rather than linear parameter averaging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viseme (lip-sync) override architecture resolving conflicts between speech articulation and emotional expression using a locked/clamped/open state model, addressing a documented weakness in prior industry dominance models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"character archetype" adapter layer generalizing the engine beyond human faces to animals, anthropomorphized objects, and mechanical systems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Built-in compliance modules for AI-disclosure, anti-addiction, and crisis-intervention behavior, designed against current EU, US, and Mainland China regulatory requirements for anthropomorphic AI interaction services</w:t>
      </w:r>
    </w:p>
    <w:p>
      <w:pPr>
        <w:spacing w:after="140"/>
      </w:pPr>
      <w:r>
        <w:rPr>
          <w:sz w:val="21"/>
          <w:szCs w:val="21"/>
        </w:rPr>
        <w:t xml:space="preserve">The engine deliberately uses deterministic, auditable rule logic rather than a black-box machine-learning model for the core expression-generation step, prioritizing reproducibility, regulatory auditability, and defensible intellectual property over a purely data-driven approach.</w:t>
      </w:r>
    </w:p>
    <w:p>
      <w:pPr>
        <w:pStyle w:val="Heading1"/>
        <w:spacing w:after="120" w:before="300"/>
      </w:pPr>
      <w:r>
        <w:rPr>
          <w:b/>
          <w:bCs/>
          <w:color w:val="1F6E4A"/>
          <w:sz w:val="30"/>
          <w:szCs w:val="30"/>
        </w:rPr>
        <w:t xml:space="preserve">4. Market Opportunity</w:t>
      </w:r>
    </w:p>
    <w:p>
      <w:pPr>
        <w:spacing w:after="140"/>
      </w:pPr>
      <w:r>
        <w:rPr>
          <w:sz w:val="21"/>
          <w:szCs w:val="21"/>
        </w:rPr>
        <w:t xml:space="preserve">The market for expressive AI characters and social robots has accelerated sharply through 2025-2026, with multiple manufacturers — spanning Mainland China, the UK, and North America — shipping or piloting hyper-realistic humanoid and desktop robot products aimed at elder-care companionship, hospitality, education, and customer service. Several of these products are hardware- and base-AI-strong but lack a differentiated, research-grounded expression layer, representing a direct B2B licensing opportunity.</w:t>
      </w:r>
    </w:p>
    <w:p>
      <w:pPr>
        <w:spacing w:after="140"/>
      </w:pPr>
      <w:r>
        <w:rPr>
          <w:sz w:val="21"/>
          <w:szCs w:val="21"/>
        </w:rPr>
        <w:t xml:space="preserve">Separately, major LLM platforms have begun shipping animated 3D companion features directly to consumers, with public reception noting a lack of character customization depth and emotional consistency — a gap Amoji's architecture is designed to address.</w:t>
      </w:r>
    </w:p>
    <w:p>
      <w:pPr>
        <w:pStyle w:val="Heading1"/>
        <w:spacing w:after="120" w:before="300"/>
      </w:pPr>
      <w:r>
        <w:rPr>
          <w:b/>
          <w:bCs/>
          <w:color w:val="1F6E4A"/>
          <w:sz w:val="30"/>
          <w:szCs w:val="30"/>
        </w:rPr>
        <w:t xml:space="preserve">5. Business Model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shd w:fill="E8F0EC" w:val="clear"/>
          </w:tcPr>
          <w:p>
            <w:r>
              <w:rPr>
                <w:b/>
                <w:bCs/>
                <w:sz w:val="19"/>
                <w:szCs w:val="19"/>
              </w:rPr>
              <w:t xml:space="preserve">Segment</w:t>
            </w:r>
          </w:p>
        </w:tc>
        <w:tc>
          <w:tcPr>
            <w:tcW w:type="dxa" w:w="3200"/>
            <w:shd w:fill="E8F0EC" w:val="clear"/>
          </w:tcPr>
          <w:p>
            <w:r>
              <w:rPr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3200"/>
            <w:shd w:fill="E8F0EC" w:val="clear"/>
          </w:tcPr>
          <w:p>
            <w:r>
              <w:rPr>
                <w:b/>
                <w:bCs/>
                <w:sz w:val="19"/>
                <w:szCs w:val="19"/>
              </w:rPr>
              <w:t xml:space="preserve">Target Customer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B2B — AI/LLM platforms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Usage-based API subscription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Conversational AI and companion-app providers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B2B — Robotics manufacturers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Integration fee + annual maintenance subscription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Humanoid/social robot manufacturers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B2C — Creator tooling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Freemium + subscription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Independent animators, VTuber creators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B2C — Consumer app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Freemium + subscription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General consumers via mobile app store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6E4A"/>
          <w:sz w:val="30"/>
          <w:szCs w:val="30"/>
        </w:rPr>
        <w:t xml:space="preserve">6. Team</w:t>
      </w:r>
    </w:p>
    <w:p>
      <w:pPr>
        <w:spacing w:after="140"/>
      </w:pPr>
      <w:r>
        <w:rPr>
          <w:sz w:val="21"/>
          <w:szCs w:val="21"/>
        </w:rPr>
        <w:t xml:space="preserve">Founder: 20 years of professional experience in character animation and facial/body performance across animation, illustration, and video production, now applied to building a technical and psychological standard for AI and robot emotional expression. Bilingual (English / Traditional Chinese), Hong Kong-based.</w:t>
      </w:r>
    </w:p>
    <w:p>
      <w:pPr>
        <w:pStyle w:val="Heading1"/>
        <w:spacing w:after="120" w:before="300"/>
      </w:pPr>
      <w:r>
        <w:rPr>
          <w:b/>
          <w:bCs/>
          <w:color w:val="1F6E4A"/>
          <w:sz w:val="30"/>
          <w:szCs w:val="30"/>
        </w:rPr>
        <w:t xml:space="preserve">7. Development Status</w:t>
      </w:r>
    </w:p>
    <w:p>
      <w:pPr>
        <w:spacing w:after="140"/>
      </w:pPr>
      <w:r>
        <w:rPr>
          <w:sz w:val="21"/>
          <w:szCs w:val="21"/>
        </w:rPr>
        <w:t xml:space="preserve">The engine's full architecture specification is complete, spanning facial and body anatomy, compound emotion logic, mood modeling, eye/gaze systems, gait, gesture, viseme coarticulation, multi-species/object adaptation, and uncanny-valley risk management, informed by both academic literature and current industry case studies. Over two dozen working interactive prototypes (2D and WebGL/Three.js) demonstrate the pipeline from abstract emotional intent to rendered performance in real time, including an initial working 3D character build.</w:t>
      </w:r>
    </w:p>
    <w:p>
      <w:pPr>
        <w:pStyle w:val="Heading1"/>
        <w:spacing w:after="120" w:before="300"/>
      </w:pPr>
      <w:r>
        <w:rPr>
          <w:b/>
          <w:bCs/>
          <w:color w:val="1F6E4A"/>
          <w:sz w:val="30"/>
          <w:szCs w:val="30"/>
        </w:rPr>
        <w:t xml:space="preserve">8. Use of Funds &amp; Milestones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600"/>
        <w:gridCol w:w="2600"/>
      </w:tblGrid>
      <w:tr>
        <w:tc>
          <w:tcPr>
            <w:tcW w:type="dxa" w:w="4400"/>
            <w:shd w:fill="E8F0EC" w:val="clear"/>
          </w:tcPr>
          <w:p>
            <w:r>
              <w:rPr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2600"/>
            <w:shd w:fill="E8F0EC" w:val="clear"/>
          </w:tcPr>
          <w:p>
            <w:r>
              <w:rPr>
                <w:b/>
                <w:bCs/>
                <w:sz w:val="19"/>
                <w:szCs w:val="19"/>
              </w:rPr>
              <w:t xml:space="preserve">Approx. Timing</w:t>
            </w:r>
          </w:p>
        </w:tc>
        <w:tc>
          <w:tcPr>
            <w:tcW w:type="dxa" w:w="2600"/>
            <w:shd w:fill="E8F0EC" w:val="clear"/>
          </w:tcPr>
          <w:p>
            <w:r>
              <w:rPr>
                <w:b/>
                <w:bCs/>
                <w:sz w:val="19"/>
                <w:szCs w:val="19"/>
              </w:rPr>
              <w:t xml:space="preserve">Funding Priority</w:t>
            </w:r>
          </w:p>
        </w:tc>
      </w:tr>
      <w:tr>
        <w:tc>
          <w:tcPr>
            <w:tcW w:type="dxa" w:w="4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 engine implementation (Phases 0-6: rendering, muscle/viseme, script, persona, compliance)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Months 1-4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</w:tr>
      <w:tr>
        <w:tc>
          <w:tcPr>
            <w:tcW w:type="dxa" w:w="4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First B2C creator-tool MVP launch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Months 4-6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</w:tr>
      <w:tr>
        <w:tc>
          <w:tcPr>
            <w:tcW w:type="dxa" w:w="4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First B2B pilot integration (LLM platform or robotics manufacturer)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Months 6-10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Secondary</w:t>
            </w:r>
          </w:p>
        </w:tc>
      </w:tr>
      <w:tr>
        <w:tc>
          <w:tcPr>
            <w:tcW w:type="dxa" w:w="4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IP audit and provisional patent filing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Pre-fundraise, 90 days before next round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Secondary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6E4A"/>
          <w:sz w:val="30"/>
          <w:szCs w:val="30"/>
        </w:rPr>
        <w:t xml:space="preserve">Appendix: Contact</w:t>
      </w:r>
    </w:p>
    <w:p>
      <w:pPr>
        <w:spacing w:after="140"/>
      </w:pPr>
      <w:r>
        <w:rPr>
          <w:sz w:val="21"/>
          <w:szCs w:val="21"/>
        </w:rPr>
        <w:t xml:space="preserve">Further technical documentation, working prototypes, and detailed specifications are available on request under a mutual non-disclosure agreement, given the trade-secret status of core parameter tables and formulas.</w:t>
      </w:r>
    </w:p>
    <w:p>
      <w:pPr>
        <w:spacing w:before="200"/>
      </w:pPr>
      <w:r>
        <w:rPr>
          <w:i/>
          <w:iCs/>
          <w:color w:val="5C7268"/>
          <w:sz w:val="20"/>
          <w:szCs w:val="20"/>
        </w:rPr>
        <w:t xml:space="preserve">Contact: [add contact details]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2026-08-04T00:36:09.074Z</dcterms:created>
  <dcterms:modified xsi:type="dcterms:W3CDTF">2026-08-04T00:36:09.091Z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