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F6E5C"/>
          <w:sz w:val="40"/>
          <w:szCs w:val="40"/>
        </w:rPr>
        <w:t xml:space="preserve">AMOJI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Bridge Between AI and Human — Expression &amp; Behavior Engine for AI Characters and Robots</w:t>
      </w: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The Problem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AI characters, digital humans, and social robots increasingly need to express emotion — but most systems either detect emotion (input side) or apply generic, static expression templates. Very few systems generate psychologically grounded, time-aware, personality-consistent facial performance. The result: AI faces that feel flat, robotic, or "uncanny" during pauses, transitions, and processing delays.</w:t>
      </w: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The Solution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A layered engine that converts an AI-generated "script" (dialogue + emotion + mood) into full facial and body performance data — combining professional animation expertise (20 years of character facial performance) with published psychology, performance-capture, and uncanny-valley research: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Compound Emotion Engine — blends two base emotions by facial region (e.g. "happily surprised"), based on published FACS research rather than naive averaging.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Mood Engine — a slow-moving background state that subtly biases and "leaks" into every displayed emotion, without explicit AI instruction.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Temporal Authenticity Layer — natural blinking, micro-expression leakage (eyes-before-mouth timing), and Alba Emoting–inspired "step-out" transitions between emotions.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Eye Anchor System — gaze-target tracking with layered microsaccades, independently matching the technique Naughty Dog's lead animator described using on The Last of Us Part II.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Latency Bridging System — persona-aware filler dialogue and gaze-aversion behavior that fills AI/robot processing delays naturally, grounded in HRI filler-word research.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Persona Parameter System — five trait weights (warmth, formality, expressiveness, playfulness, assertiveness) mathematically derive intensity caps, allowed emotions, and behavior for any character — no per-character redesign needed.</w:t>
      </w: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Validated by Industry Precedent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Two independent findings from AAA game and robotics production confirm our core design philosophy: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Last of Us (2013) used zero facial motion capture — every facial performance was hand-keyed by animators studying reference footage — and remains one of gaming's most emotionally convincing character performances. Raw capture fidelity is not what makes a face believable; trained animator judgment is. This is the same principle behind Amoji's rule-based engine.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Engineered Arts (maker of Ameca, the most widely deployed hyper-realistic robot) runs two product lines: Ameca, which deliberately keeps skin tone and texture visibly artificial while making motion hyper-realistic, and Mesmer, which pursues full human realism — and by the company's own account, Mesmer "falls right into the uncanny valley." Same company, same era: consistent stylization wins, half-measures toward full realism lose.</w:t>
      </w: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Why It's Different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Current emotion-AI companies (e.g. Hume AI, Affectiva) focus on detecting emotion from input. Character-AI engines (e.g. Inworld, Convai) focus on dialogue generation and NPC behavior. Digital human platforms (e.g. Soul Machines) focus on rendering fidelity. None of the reviewed competitors combine psychologically-grounded compound emotion generation, mood-based leakage, and performance-trained transition timing into a single, persona-configurable engine.</w:t>
      </w: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Product Lines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600"/>
      </w:tblGrid>
      <w:tr>
        <w:tc>
          <w:tcPr>
            <w:tcW w:type="dxa" w:w="2500"/>
            <w:shd w:fill="E8F2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E5C"/>
                <w:sz w:val="18"/>
                <w:szCs w:val="18"/>
              </w:rPr>
              <w:t xml:space="preserve">Persona</w:t>
            </w:r>
          </w:p>
        </w:tc>
        <w:tc>
          <w:tcPr>
            <w:tcW w:type="dxa" w:w="3600"/>
            <w:shd w:fill="E8F2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E5C"/>
                <w:sz w:val="18"/>
                <w:szCs w:val="18"/>
              </w:rPr>
              <w:t xml:space="preserve">Target Customer</w:t>
            </w:r>
          </w:p>
        </w:tc>
        <w:tc>
          <w:tcPr>
            <w:tcW w:type="dxa" w:w="3600"/>
            <w:shd w:fill="E8F2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E5C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Home Service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Smart home / domestic robot makers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Warm, moderate range, low-risk emotions only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Corporate Document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Enterprise software / RPA / document AI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Restrained, professional, near-zero negative affect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Companion (Mate)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Companion apps / desktop robots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emotional range incl. compound emotions &amp; leakage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Educational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EdTech / children's robots &amp; toys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Exaggerated, clear, consistent — pedagogy-first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Medical / Care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Eldercare / hospital assistant robots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Calm baseline, custom "Concerned" compound emotion</w:t>
            </w:r>
          </w:p>
        </w:tc>
      </w:tr>
    </w:tbl>
    <w:p>
      <w:pPr>
        <w:spacing w:after="160"/>
      </w:pP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Status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Full architecture specification complete across 39+ documents spanning facial anatomy, compound emotion logic, mood engine, eye/gaze systems, neck-shoulder-breathing, gait, gesture, viseme coarticulation, and uncanny-valley risk management. 26+ working interactive prototypes (HTML/Canvas and Three.js/WebGL) demonstrate the full pipeline from AI script input to rendered facial and body performance in real time, including a first working 3D character build.</w:t>
      </w:r>
    </w:p>
    <w:p>
      <w:pPr>
        <w:pBdr>
          <w:bottom w:val="single" w:color="2F6E5C" w:sz="8" w:space="2"/>
        </w:pBdr>
        <w:spacing w:after="90" w:before="260"/>
      </w:pPr>
      <w:r>
        <w:rPr>
          <w:rFonts w:ascii="Calibri" w:cs="Calibri" w:eastAsia="Calibri" w:hAnsi="Calibri"/>
          <w:b/>
          <w:bCs/>
          <w:color w:val="2F6E5C"/>
          <w:sz w:val="26"/>
          <w:szCs w:val="26"/>
        </w:rPr>
        <w:t xml:space="preserve">About the Founder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20 years of professional experience in character animation, human body and facial performance across animation, illustration, and video production, now applied to building a technical standard for AI/robot emotional expression.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Contact: [add contact details]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2026-07-29T00:21:07.343Z</dcterms:created>
  <dcterms:modified xsi:type="dcterms:W3CDTF">2026-07-29T00:21:07.370Z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