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F6E5C"/>
          <w:sz w:val="40"/>
          <w:szCs w:val="40"/>
        </w:rPr>
        <w:t xml:space="preserve">LILITH EXPRESSION DNA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Universal Emotion &amp; Behavior Engine for AI Characters and Robots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The Problem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AI characters, digital humans, and social robots increasingly need to express emotion — but most systems either detect emotion (input side) or apply generic, static expression templates. Very few systems generate psychologically grounded, time-aware, personality-consistent facial performance. The result: AI faces that feel flat, robotic, or "uncanny" during pauses, transitions, and processing delays.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The Solution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A layered engine that converts an AI-generated "script" (dialogue + emotion + mood) into full facial performance data — combining professional animation expertise (20 years of character facial performance) with published psychology and performance-capture research: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Compound Emotion Engine — blends two base emotions by facial region (e.g. "happily surprised"), based on published FACS research rather than naive averaging.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Mood Engine — a slow-moving background state that subtly biases and "leaks" into every displayed emotion, without explicit AI instruction.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Temporal Authenticity Layer — natural blinking, micro-expression leakage (eyes-before-mouth timing), and Alba Emoting–inspired "step-out" transitions between emotions.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Latency Bridging System — persona-aware filler dialogue and gaze-aversion behavior that fills AI/robot processing delays naturally, grounded in HRI filler-word research.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Persona Parameter System — five trait weights (warmth, formality, expressiveness, playfulness, assertiveness) mathematically derive intensity caps, allowed emotions, and behavior for any character — no per-character redesign needed.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Why It's Different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Current emotion-AI companies (e.g. Hume AI, Affectiva) focus on detecting emotion from input. Character-AI engines (e.g. Inworld, Convai) focus on dialogue generation and NPC behavior. Digital human platforms (e.g. Soul Machines) focus on rendering fidelity. None of the reviewed competitors combine psychologically-grounded compound emotion generation, mood-based leakage, and performance-trained transition timing into a single, persona-configurable engine.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Product Lines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600"/>
      </w:tblGrid>
      <w:tr>
        <w:tc>
          <w:tcPr>
            <w:tcW w:type="dxa" w:w="2500"/>
            <w:shd w:fill="E8F2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E5C"/>
                <w:sz w:val="18"/>
                <w:szCs w:val="18"/>
              </w:rPr>
              <w:t xml:space="preserve">Persona</w:t>
            </w:r>
          </w:p>
        </w:tc>
        <w:tc>
          <w:tcPr>
            <w:tcW w:type="dxa" w:w="3600"/>
            <w:shd w:fill="E8F2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E5C"/>
                <w:sz w:val="18"/>
                <w:szCs w:val="18"/>
              </w:rPr>
              <w:t xml:space="preserve">Target Customer</w:t>
            </w:r>
          </w:p>
        </w:tc>
        <w:tc>
          <w:tcPr>
            <w:tcW w:type="dxa" w:w="3600"/>
            <w:shd w:fill="E8F2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E5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Home Service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Smart home / domestic robot makers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Warm, moderate range, low-risk emotions only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Corporate Document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Enterprise software / RPA / document AI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Restrained, professional, near-zero negative affect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Companion (Mate)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Companion apps / desktop robots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emotional range incl. compound emotions &amp; leakage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Educational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EdTech / children's robots &amp; toys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Exaggerated, clear, consistent — pedagogy-first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Medical / Care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Eldercare / hospital assistant robots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Calm baseline, custom "Concerned" compound emotion</w:t>
            </w:r>
          </w:p>
        </w:tc>
      </w:tr>
    </w:tbl>
    <w:p>
      <w:pPr>
        <w:spacing w:after="160"/>
      </w:pP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Status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Full architecture specification complete across 13 documents (facial point-mapping, emotion tables, compound emotion logic, mood engine, actor's-discretion engine, latency bridging, persona system). Five working interactive prototypes built (HTML/Canvas), demonstrating the full pipeline from AI script input to rendered facial performance in real time.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About the Founder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20 years of professional experience in character animation, human body and facial performance across animation, illustration, and video production, now applied to building a technical standard for AI/robot emotional expression.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Contact: [add contact details]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2026-07-27T11:32:16.655Z</dcterms:created>
  <dcterms:modified xsi:type="dcterms:W3CDTF">2026-07-27T11:32:16.674Z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