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IT-аудиту ООО «АльфаТех»</w:t>
      </w:r>
    </w:p>
    <w:p>
      <w:pPr>
        <w:pStyle w:val="Heading2"/>
      </w:pPr>
      <w:r>
        <w:t>Общие сведения</w:t>
      </w:r>
    </w:p>
    <w:p>
      <w:r>
        <w:t>Дата проведения: 10-14 февраля 2026 года</w:t>
      </w:r>
    </w:p>
    <w:p>
      <w:r>
        <w:t>Аудитор: ООО «КиберЩит», лицензия ФСТЭК №Л050-00125</w:t>
      </w:r>
    </w:p>
    <w:p>
      <w:r>
        <w:t>Объект аудита: IT-инфраструктура ООО «АльфаТех»</w:t>
      </w:r>
    </w:p>
    <w:p>
      <w:pPr>
        <w:pStyle w:val="Heading2"/>
      </w:pPr>
      <w:r>
        <w:t>Выявленные уязвимости</w:t>
      </w:r>
    </w:p>
    <w:p>
      <w:r>
        <w:t>КРИТИЧЕСКИЕ (2):</w:t>
      </w:r>
    </w:p>
    <w:p>
      <w:r>
        <w:t>• Отсутствие шифрования резервных копий БД — риск утечки данных</w:t>
      </w:r>
    </w:p>
    <w:p>
      <w:r>
        <w:t>• Устаревшая версия OpenSSL (1.1.1) на 2 серверах — известные CVE</w:t>
      </w:r>
    </w:p>
    <w:p/>
    <w:p>
      <w:r>
        <w:t>ВЫСОКИЕ (4):</w:t>
      </w:r>
    </w:p>
    <w:p>
      <w:r>
        <w:t>• Нет двухфакторной аутентификации для VPN-подключений</w:t>
      </w:r>
    </w:p>
    <w:p>
      <w:r>
        <w:t>• Не настроен мониторинг входящего трафика (IDS/IPS отсутствует)</w:t>
      </w:r>
    </w:p>
    <w:p>
      <w:r>
        <w:t>• Политика паролей: минимум 6 символов (рекомендуется 12+)</w:t>
      </w:r>
    </w:p>
    <w:p>
      <w:r>
        <w:t>• Учётные записи уволенных сотрудников не деактивированы (3 шт.)</w:t>
      </w:r>
    </w:p>
    <w:p/>
    <w:p>
      <w:r>
        <w:t>СРЕДНИЕ (7):</w:t>
      </w:r>
    </w:p>
    <w:p>
      <w:r>
        <w:t>• Отсутствие централизованного управления обновлениями</w:t>
      </w:r>
    </w:p>
    <w:p>
      <w:r>
        <w:t>• Нет регулярного тестирования восстановления из бэкапов</w:t>
      </w:r>
    </w:p>
    <w:p>
      <w:r>
        <w:t>• Wi-Fi сеть офиса использует WPA2 вместо WPA3</w:t>
      </w:r>
    </w:p>
    <w:p>
      <w:r>
        <w:t>• И другие (см. Приложение Б)</w:t>
      </w:r>
    </w:p>
    <w:p>
      <w:pPr>
        <w:pStyle w:val="Heading2"/>
      </w:pPr>
      <w:r>
        <w:t>Рекомендации</w:t>
      </w:r>
    </w:p>
    <w:p>
      <w:r>
        <w:t>1. СРОЧНО (в течение 7 дней): обновить OpenSSL, включить шифрование бэкапов</w:t>
      </w:r>
    </w:p>
    <w:p>
      <w:r>
        <w:t>2. В течение 30 дней: внедрить 2FA, настроить IDS/IPS, деактивировать учётки</w:t>
      </w:r>
    </w:p>
    <w:p>
      <w:r>
        <w:t>3. В течение 90 дней: усилить парольную политику, перейти на WPA3, настроить WSUS</w:t>
      </w:r>
    </w:p>
    <w:p>
      <w:pPr>
        <w:pStyle w:val="Heading2"/>
      </w:pPr>
      <w:r>
        <w:t>Оценка зрелости</w:t>
      </w:r>
    </w:p>
    <w:p>
      <w:r>
        <w:t>Текущий уровень: 2.3 из 5.0 (Базовый)</w:t>
      </w:r>
    </w:p>
    <w:p>
      <w:r>
        <w:t>Целевой уровень: 3.5 (Управляемый)</w:t>
      </w:r>
    </w:p>
    <w:p>
      <w:r>
        <w:t>Ожидаемый срок достижения: 6 месяцев при выполнении рекомендаций.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