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Response to Reviewers</w:t>
      </w:r>
    </w:p>
    <w:p>
      <w:pPr>
        <w:spacing w:after="80"/>
      </w:pPr>
      <w:r>
        <w:rPr>
          <w:rFonts w:ascii="Arial" w:cs="Arial" w:eastAsia="Arial" w:hAnsi="Arial"/>
          <w:color w:val="555555"/>
          <w:sz w:val="20"/>
          <w:szCs w:val="20"/>
        </w:rPr>
        <w:t xml:space="preserve">Manuscript: Hybrid Computed Torque Control and Soft Actor-Critic Framework for Sample-Efficient Robotic Manipulator Control</w:t>
      </w:r>
    </w:p>
    <w:p>
      <w:pPr>
        <w:spacing w:after="80"/>
      </w:pPr>
      <w:r>
        <w:rPr>
          <w:rFonts w:ascii="Arial" w:cs="Arial" w:eastAsia="Arial" w:hAnsi="Arial"/>
          <w:color w:val="555555"/>
          <w:sz w:val="20"/>
          <w:szCs w:val="20"/>
        </w:rPr>
        <w:t xml:space="preserve">Conference: CoDIT 2026  |  Revision submitted: May 2026</w:t>
      </w:r>
    </w:p>
    <w:p>
      <w:pPr>
        <w:spacing w:after="80"/>
      </w:pPr>
      <w:r>
        <w:rPr>
          <w:rFonts w:ascii="Arial" w:cs="Arial" w:eastAsia="Arial" w:hAnsi="Arial"/>
          <w:color w:val="555555"/>
          <w:sz w:val="20"/>
          <w:szCs w:val="20"/>
        </w:rPr>
        <w:t xml:space="preserve">Authors: Mona Alsbakhi, Majed Tabash, Anas Alsalool, Asma Sbaih</w:t>
      </w:r>
    </w:p>
    <w:p>
      <w:pPr>
        <w:pBdr>
          <w:bottom w:val="single" w:color="AAAAAA" w:sz="4"/>
        </w:pBdr>
        <w:spacing w:after="100" w:before="100"/>
      </w:pPr>
    </w:p>
    <w:p>
      <w:pPr>
        <w:spacing w:after="120"/>
        <w:jc w:val="both"/>
      </w:pPr>
      <w:r>
        <w:rPr>
          <w:rFonts w:ascii="Arial" w:cs="Arial" w:eastAsia="Arial" w:hAnsi="Arial"/>
          <w:sz w:val="20"/>
          <w:szCs w:val="20"/>
        </w:rPr>
        <w:t xml:space="preserve">We sincerely thank the reviewers for their careful reading of our manuscript and for providing insightful and constructive feedback. We have addressed all comments in the revised version and summarise our responses below. For each point, we quote the original concern, explain our response, and indicate the specific changes made to the manuscript.</w:t>
      </w:r>
    </w:p>
    <w:p>
      <w:pPr>
        <w:spacing w:after="200"/>
      </w:pPr>
    </w:p>
    <w:p>
      <w:pPr>
        <w:spacing w:after="120" w:before="320"/>
      </w:pPr>
      <w:r>
        <w:rPr>
          <w:rFonts w:ascii="Arial" w:cs="Arial" w:eastAsia="Arial" w:hAnsi="Arial"/>
          <w:b/>
          <w:bCs/>
          <w:color w:val="1F4E79"/>
          <w:sz w:val="32"/>
          <w:szCs w:val="32"/>
        </w:rPr>
        <w:t xml:space="preserve">Reviewer Concern: Inconsistency in Table VI Metrics</w:t>
      </w:r>
    </w:p>
    <w:p>
      <w:pPr>
        <w:pBdr>
          <w:left w:val="single" w:color="2E75B6" w:sz="12" w:space="8"/>
        </w:pBdr>
        <w:spacing w:after="120" w:before="80"/>
        <w:ind w:left="720"/>
      </w:pPr>
      <w:r>
        <w:rPr>
          <w:rFonts w:ascii="Arial" w:cs="Arial" w:eastAsia="Arial" w:hAnsi="Arial"/>
          <w:i/>
          <w:iCs/>
          <w:color w:val="444444"/>
          <w:sz w:val="19"/>
          <w:szCs w:val="19"/>
        </w:rPr>
        <w:t xml:space="preserve">The paper claims that CTC+SAC achieves the best performance across all metrics, yet Table VI shows that RL-Only has a lower RMS error for joint 1 (5.68 rad) compared to CTC+SAC (6.41 rad). This appears to be an internal inconsistency.</w:t>
      </w:r>
    </w:p>
    <w:p>
      <w:pPr>
        <w:spacing w:after="120" w:before="200"/>
      </w:pPr>
      <w:r>
        <w:rPr>
          <w:rFonts w:ascii="Arial" w:cs="Arial" w:eastAsia="Arial" w:hAnsi="Arial"/>
          <w:b/>
          <w:bCs/>
          <w:color w:val="1F4E79"/>
          <w:sz w:val="26"/>
          <w:szCs w:val="26"/>
        </w:rPr>
        <w:t xml:space="preserve">Response</w:t>
      </w:r>
    </w:p>
    <w:p>
      <w:pPr>
        <w:spacing w:after="120"/>
        <w:jc w:val="left"/>
      </w:pPr>
      <w:r>
        <w:rPr>
          <w:rFonts w:ascii="Arial" w:cs="Arial" w:eastAsia="Arial" w:hAnsi="Arial"/>
          <w:sz w:val="20"/>
          <w:szCs w:val="20"/>
        </w:rPr>
        <w:t xml:space="preserve">We thank the reviewer for this precise observation. The reviewer is correct that our original statement — "The proposed CTC+SAC approach achieves the best performance across all metrics" — was inaccurate, and we have corrected it in the revised manuscript. The data in Table VI are valid; only the summary claim in the narrative text was overstated.</w:t>
      </w:r>
    </w:p>
    <w:p>
      <w:pPr>
        <w:spacing w:after="100"/>
      </w:pPr>
    </w:p>
    <w:p>
      <w:pPr>
        <w:spacing w:after="120" w:before="200"/>
      </w:pPr>
      <w:r>
        <w:rPr>
          <w:rFonts w:ascii="Arial" w:cs="Arial" w:eastAsia="Arial" w:hAnsi="Arial"/>
          <w:b/>
          <w:bCs/>
          <w:color w:val="1F4E79"/>
          <w:sz w:val="22"/>
          <w:szCs w:val="22"/>
        </w:rPr>
        <w:t xml:space="preserve">Technical Explanation: RMS vs. Mean Error</w:t>
      </w:r>
    </w:p>
    <w:p>
      <w:pPr>
        <w:spacing w:after="120"/>
        <w:jc w:val="both"/>
      </w:pPr>
      <w:r>
        <w:rPr>
          <w:rFonts w:ascii="Arial" w:cs="Arial" w:eastAsia="Arial" w:hAnsi="Arial"/>
          <w:sz w:val="20"/>
          <w:szCs w:val="20"/>
        </w:rPr>
        <w:t xml:space="preserve">The apparent inconsistency arises from a fundamental difference between the two error metrics used in Table VI:</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Property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RMS Error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Mean Absolute Error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18"/>
                <w:szCs w:val="18"/>
              </w:rPr>
              <w:t xml:space="preserve">Formula</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sqrt(mean(e^2))</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mean(|e|)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18"/>
                <w:szCs w:val="18"/>
              </w:rPr>
              <w:t xml:space="preserve">Sensitivity</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Squares errors — large transient spikes dominate the average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Linear average — reflects sustained tracking quality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18"/>
                <w:szCs w:val="18"/>
              </w:rPr>
              <w:t xml:space="preserve">What it measures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Worst-case / transient behaviour</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Overall / steady-state behaviour</w:t>
            </w:r>
          </w:p>
        </w:tc>
      </w:tr>
    </w:tbl>
    <w:p>
      <w:pPr>
        <w:spacing w:after="120" w:before="80"/>
      </w:pPr>
    </w:p>
    <w:p>
      <w:pPr>
        <w:spacing w:after="120" w:before="200"/>
      </w:pPr>
      <w:r>
        <w:rPr>
          <w:rFonts w:ascii="Arial" w:cs="Arial" w:eastAsia="Arial" w:hAnsi="Arial"/>
          <w:b/>
          <w:bCs/>
          <w:color w:val="1F4E79"/>
          <w:sz w:val="22"/>
          <w:szCs w:val="22"/>
        </w:rPr>
        <w:t xml:space="preserve">Why CTC+SAC Has a Higher RMS Despite Better Mean Error</w:t>
      </w:r>
    </w:p>
    <w:p>
      <w:pPr>
        <w:spacing w:after="120"/>
        <w:jc w:val="left"/>
      </w:pPr>
      <w:r>
        <w:rPr>
          <w:rFonts w:ascii="Arial" w:cs="Arial" w:eastAsia="Arial" w:hAnsi="Arial"/>
          <w:sz w:val="20"/>
          <w:szCs w:val="20"/>
        </w:rPr>
        <w:t xml:space="preserve">CTC+SAC produces a brief but large corrective torque spike during the initial transient phase — the robot starts from rest while the sinusoidal reference trajectory is already in motion (starting at </w:t>
      </w:r>
      <w:r>
        <w:rPr>
          <w:rFonts w:ascii="Arial" w:cs="Arial" w:eastAsia="Arial" w:hAnsi="Arial"/>
          <w:i/>
          <w:iCs/>
          <w:sz w:val="20"/>
          <w:szCs w:val="20"/>
        </w:rPr>
        <w:t xml:space="preserve">q₁,d(0) = 0 rad</w:t>
      </w:r>
      <w:r>
        <w:rPr>
          <w:rFonts w:ascii="Arial" w:cs="Arial" w:eastAsia="Arial" w:hAnsi="Arial"/>
          <w:sz w:val="20"/>
          <w:szCs w:val="20"/>
        </w:rPr>
        <w:t xml:space="preserve">. This spike results in a peak joint-1 error of </w:t>
      </w:r>
      <w:r>
        <w:rPr>
          <w:rFonts w:ascii="Arial" w:cs="Arial" w:eastAsia="Arial" w:hAnsi="Arial"/>
          <w:b/>
          <w:bCs/>
          <w:sz w:val="20"/>
          <w:szCs w:val="20"/>
        </w:rPr>
        <w:t xml:space="preserve">78.37 rad</w:t>
      </w:r>
      <w:r>
        <w:rPr>
          <w:rFonts w:ascii="Arial" w:cs="Arial" w:eastAsia="Arial" w:hAnsi="Arial"/>
          <w:sz w:val="20"/>
          <w:szCs w:val="20"/>
        </w:rPr>
        <w:t xml:space="preserve"> (vs. 42.93 rad for RL-Only). Because RMS </w:t>
      </w:r>
      <w:r>
        <w:rPr>
          <w:rFonts w:ascii="Arial" w:cs="Arial" w:eastAsia="Arial" w:hAnsi="Arial"/>
          <w:i/>
          <w:iCs/>
          <w:sz w:val="20"/>
          <w:szCs w:val="20"/>
        </w:rPr>
        <w:t xml:space="preserve">squares</w:t>
      </w:r>
      <w:r>
        <w:rPr>
          <w:rFonts w:ascii="Arial" w:cs="Arial" w:eastAsia="Arial" w:hAnsi="Arial"/>
          <w:sz w:val="20"/>
          <w:szCs w:val="20"/>
        </w:rPr>
        <w:t xml:space="preserve"> each error sample, this short-lived spike disproportionately inflates the RMS value.</w:t>
      </w:r>
    </w:p>
    <w:p>
      <w:pPr>
        <w:spacing w:after="120"/>
        <w:jc w:val="left"/>
      </w:pPr>
      <w:r>
        <w:rPr>
          <w:rFonts w:ascii="Arial" w:cs="Arial" w:eastAsia="Arial" w:hAnsi="Arial"/>
          <w:sz w:val="20"/>
          <w:szCs w:val="20"/>
        </w:rPr>
        <w:t xml:space="preserve">After the transient subsides, however, CTC+SAC quickly converges to a much lower steady-state tracking error. The </w:t>
      </w:r>
      <w:r>
        <w:rPr>
          <w:rFonts w:ascii="Arial" w:cs="Arial" w:eastAsia="Arial" w:hAnsi="Arial"/>
          <w:b/>
          <w:bCs/>
          <w:sz w:val="20"/>
          <w:szCs w:val="20"/>
        </w:rPr>
        <w:t xml:space="preserve">mean error over the full episode</w:t>
      </w:r>
      <w:r>
        <w:rPr>
          <w:rFonts w:ascii="Arial" w:cs="Arial" w:eastAsia="Arial" w:hAnsi="Arial"/>
          <w:sz w:val="20"/>
          <w:szCs w:val="20"/>
        </w:rPr>
        <w:t xml:space="preserve"> — which averages errors uniformly — captures this superior sustained accuracy and correctly shows CTC+SAC (2.36 rad) outperforming RL-Only (4.23 rad) by </w:t>
      </w:r>
      <w:r>
        <w:rPr>
          <w:rFonts w:ascii="Arial" w:cs="Arial" w:eastAsia="Arial" w:hAnsi="Arial"/>
          <w:b/>
          <w:bCs/>
          <w:sz w:val="20"/>
          <w:szCs w:val="20"/>
        </w:rPr>
        <w:t xml:space="preserve">44.1%</w:t>
      </w:r>
      <w:r>
        <w:rPr>
          <w:rFonts w:ascii="Arial" w:cs="Arial" w:eastAsia="Arial" w:hAnsi="Arial"/>
          <w:sz w:val="20"/>
          <w:szCs w:val="20"/>
        </w:rPr>
        <w:t xml:space="preserve">. These two observations are physically consistent: RL-Only avoids a large spike but struggles to maintain accurate tracking, while CTC+SAC has a larger spike but far better steady-state behaviour.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Method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RMS q₁ (rad)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Mean Error (rad)</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Interpretation</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CTC-Only</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sz w:val="18"/>
                <w:szCs w:val="18"/>
              </w:rPr>
              <w:t xml:space="preserve">6.43</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sz w:val="18"/>
                <w:szCs w:val="18"/>
              </w:rPr>
              <w:t xml:space="preserve">5.70</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High error throughout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RL-Only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18"/>
                <w:szCs w:val="18"/>
              </w:rPr>
              <w:t xml:space="preserve">5.68</w:t>
            </w:r>
          </w:p>
        </w:tc>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18"/>
                <w:szCs w:val="18"/>
              </w:rPr>
              <w:t xml:space="preserve">4.23</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Moderate but persistent error; smaller initial spike</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CTC+SAC (Proposed)</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sz w:val="18"/>
                <w:szCs w:val="18"/>
              </w:rPr>
              <w:t xml:space="preserve">6.41</w:t>
            </w:r>
          </w:p>
        </w:tc>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sz w:val="18"/>
                <w:szCs w:val="18"/>
              </w:rPr>
              <w:t xml:space="preserve">2.36  (↓ best)</w:t>
            </w:r>
          </w:p>
        </w:tc>
        <w:tc>
          <w:tcPr>
            <w:tcW w:type="dxa" w:w="30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Larger initial spike; markedly better sustained accuracy</w:t>
            </w:r>
          </w:p>
        </w:tc>
      </w:tr>
    </w:tbl>
    <w:p>
      <w:pPr>
        <w:spacing w:after="120" w:before="100"/>
      </w:pPr>
    </w:p>
    <w:p>
      <w:pPr>
        <w:spacing w:after="120" w:before="200"/>
      </w:pPr>
      <w:r>
        <w:rPr>
          <w:rFonts w:ascii="Arial" w:cs="Arial" w:eastAsia="Arial" w:hAnsi="Arial"/>
          <w:b/>
          <w:bCs/>
          <w:color w:val="1F4E79"/>
          <w:sz w:val="26"/>
          <w:szCs w:val="26"/>
        </w:rPr>
        <w:t xml:space="preserve">Changes Made in the Revised Manuscript</w:t>
      </w:r>
    </w:p>
    <w:p>
      <w:pPr>
        <w:spacing w:after="120"/>
        <w:jc w:val="left"/>
      </w:pPr>
      <w:r>
        <w:rPr>
          <w:rFonts w:ascii="Arial" w:cs="Arial" w:eastAsia="Arial" w:hAnsi="Arial"/>
          <w:sz w:val="20"/>
          <w:szCs w:val="20"/>
        </w:rPr>
        <w:t xml:space="preserve">We have made the following targeted corrections: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Location</w:t>
            </w:r>
          </w:p>
        </w:tc>
        <w:tc>
          <w:tcPr>
            <w:tcW w:type="dxa" w:w="31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Original (before)</w:t>
            </w:r>
          </w:p>
        </w:tc>
        <w:tc>
          <w:tcPr>
            <w:tcW w:type="dxa" w:w="41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Revised (after)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18"/>
                <w:szCs w:val="18"/>
              </w:rPr>
              <w:t xml:space="preserve">Section V-C, Table VI narrative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"The proposed CTC+SAC approach achieves the best performance across all metrics."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"The proposed CTC+SAC approach achieves the lowest mean tracking error among all three methods (2.36 rad), corresponding to a 58.6% reduction over CTC-Only and a 44.1% reduction over RL-Only. While RL-Only exhibits a lower RMS error for joint 1 due to a smaller initial transient spike, CTC+SAC achieves markedly superior sustained trajectory tracking accuracy."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18"/>
                <w:szCs w:val="18"/>
              </w:rPr>
              <w:t xml:space="preserve">Section V-D, Discussion point 1</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"CTC+SAC achieves better performance than both CTC-Only and RL-Only, validating the synergy between model-based and learning-based control."</w:t>
            </w:r>
          </w:p>
        </w:tc>
        <w:tc>
          <w:tcPr>
            <w:tcW w:type="dxa" w:w="41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"CTC+SAC achieves the lowest mean tracking error among all three methods, validating the synergy between model-based and learning-based control. The small performance gap in RMS error relative to RL-Only is attributable to the larger initial transient in CTC+SAC, while steady-state accuracy is substantially superior."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18"/>
                <w:szCs w:val="18"/>
              </w:rPr>
              <w:t xml:space="preserve">Before Table VI</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(no metric definitions provided)</w:t>
            </w:r>
          </w:p>
        </w:tc>
        <w:tc>
          <w:tcPr>
            <w:tcW w:type="dxa" w:w="4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Added a paragraph defining RMS error and mean absolute error, clarifying that RMS penalises large transient spikes quadratically while mean error reflects sustained tracking quality. Added a Steady-State Error column (mean error over the final 50% of the episode, t ≥ 5 s) to the table so the CTC+SAC advantage in settled tracking is directly visible.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sz w:val="18"/>
                <w:szCs w:val="18"/>
              </w:rPr>
              <w:t xml:space="preserve">Section II, Related Work (grammar)</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"There analysis indicated..."</w:t>
            </w:r>
          </w:p>
        </w:tc>
        <w:tc>
          <w:tcPr>
            <w:tcW w:type="dxa" w:w="41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sz w:val="18"/>
                <w:szCs w:val="18"/>
              </w:rPr>
              <w:t xml:space="preserve">"Their analysis indicated..."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sz w:val="18"/>
                <w:szCs w:val="18"/>
              </w:rPr>
              <w:t xml:space="preserve">Section II, Related Work (grammar)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"systematic review of realated works"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sz w:val="18"/>
                <w:szCs w:val="18"/>
              </w:rPr>
              <w:t xml:space="preserve">"systematic review of related works"</w:t>
            </w:r>
          </w:p>
        </w:tc>
      </w:tr>
    </w:tbl>
    <w:p>
      <w:pPr>
        <w:spacing w:after="120" w:before="100"/>
      </w:pPr>
    </w:p>
    <w:p>
      <w:pPr>
        <w:spacing w:after="120"/>
        <w:jc w:val="left"/>
      </w:pPr>
      <w:r>
        <w:rPr>
          <w:rFonts w:ascii="Arial" w:cs="Arial" w:eastAsia="Arial" w:hAnsi="Arial"/>
          <w:sz w:val="20"/>
          <w:szCs w:val="20"/>
        </w:rPr>
        <w:t xml:space="preserve">We believe these corrections accurately represent the experimental results and strengthen the scientific rigour of the manuscript. The core finding — that CTC+SAC achieves superior mean and steady-state tracking accuracy compared to both baseline methods — is supported by the data and remains unchanged.</w:t>
      </w:r>
    </w:p>
    <w:p>
      <w:pPr>
        <w:spacing w:after="200"/>
      </w:pPr>
    </w:p>
    <w:p>
      <w:pPr>
        <w:pBdr>
          <w:bottom w:val="single" w:color="AAAAAA" w:sz="4"/>
        </w:pBdr>
        <w:spacing w:after="100" w:before="100"/>
      </w:pPr>
    </w:p>
    <w:p>
      <w:pPr>
        <w:spacing w:after="120" w:before="320"/>
      </w:pPr>
      <w:r>
        <w:rPr>
          <w:rFonts w:ascii="Arial" w:cs="Arial" w:eastAsia="Arial" w:hAnsi="Arial"/>
          <w:b/>
          <w:bCs/>
          <w:color w:val="1F4E79"/>
          <w:sz w:val="32"/>
          <w:szCs w:val="32"/>
        </w:rPr>
        <w:t xml:space="preserve">Additional Corrections Made in the Revised Manuscript</w:t>
      </w:r>
    </w:p>
    <w:p>
      <w:pPr>
        <w:spacing w:after="120"/>
        <w:jc w:val="left"/>
      </w:pPr>
      <w:r>
        <w:rPr>
          <w:rFonts w:ascii="Arial" w:cs="Arial" w:eastAsia="Arial" w:hAnsi="Arial"/>
          <w:sz w:val="20"/>
          <w:szCs w:val="20"/>
        </w:rPr>
        <w:t xml:space="preserve">Beyond the reviewer's specific concern, we have made the following additional improvements during revision:</w:t>
      </w:r>
    </w:p>
    <w:p>
      <w:pPr>
        <w:pStyle w:val="ListParagraph"/>
        <w:numPr>
          <w:ilvl w:val="0"/>
          <w:numId w:val="2"/>
        </w:numPr>
        <w:spacing w:after="80"/>
      </w:pPr>
      <w:r>
        <w:rPr>
          <w:rFonts w:ascii="Arial" w:cs="Arial" w:eastAsia="Arial" w:hAnsi="Arial"/>
          <w:sz w:val="20"/>
          <w:szCs w:val="20"/>
        </w:rPr>
        <w:t xml:space="preserve">Corrected two typographical errors in Section II ("There" → "Their"; "realated" → "related").</w:t>
      </w:r>
    </w:p>
    <w:p>
      <w:pPr>
        <w:pStyle w:val="ListParagraph"/>
        <w:numPr>
          <w:ilvl w:val="0"/>
          <w:numId w:val="2"/>
        </w:numPr>
        <w:spacing w:after="80"/>
      </w:pPr>
      <w:r>
        <w:rPr>
          <w:rFonts w:ascii="Arial" w:cs="Arial" w:eastAsia="Arial" w:hAnsi="Arial"/>
          <w:sz w:val="20"/>
          <w:szCs w:val="20"/>
        </w:rPr>
        <w:t xml:space="preserve">Added a paragraph before Table VI defining the three reported metrics (RMS Error, Mean Absolute Error, Steady-State Error) and explaining the transient vs. steady-state distinction.</w:t>
      </w:r>
    </w:p>
    <w:p>
      <w:pPr>
        <w:pStyle w:val="ListParagraph"/>
        <w:numPr>
          <w:ilvl w:val="0"/>
          <w:numId w:val="2"/>
        </w:numPr>
        <w:spacing w:after="80"/>
      </w:pPr>
      <w:r>
        <w:rPr>
          <w:rFonts w:ascii="Arial" w:cs="Arial" w:eastAsia="Arial" w:hAnsi="Arial"/>
          <w:sz w:val="20"/>
          <w:szCs w:val="20"/>
        </w:rPr>
        <w:t xml:space="preserve">Expanded Table VI to include a Steady-State Error column (mean error over t ≥ 5 s), which clearly shows CTC+SAC achieving the lowest steady-state tracking error among all methods.</w:t>
      </w:r>
    </w:p>
    <w:p>
      <w:pPr>
        <w:pStyle w:val="ListParagraph"/>
        <w:numPr>
          <w:ilvl w:val="0"/>
          <w:numId w:val="2"/>
        </w:numPr>
        <w:spacing w:after="80"/>
      </w:pPr>
      <w:r>
        <w:rPr>
          <w:rFonts w:ascii="Arial" w:cs="Arial" w:eastAsia="Arial" w:hAnsi="Arial"/>
          <w:sz w:val="20"/>
          <w:szCs w:val="20"/>
        </w:rPr>
        <w:t xml:space="preserve">Corrected the summary claim in Section V-C and V-D to accurately reflect the metric-by-metric comparison.</w:t>
      </w:r>
    </w:p>
    <w:p>
      <w:pPr>
        <w:pStyle w:val="ListParagraph"/>
        <w:numPr>
          <w:ilvl w:val="0"/>
          <w:numId w:val="2"/>
        </w:numPr>
        <w:spacing w:after="80"/>
      </w:pPr>
      <w:r>
        <w:rPr>
          <w:rFonts w:ascii="Arial" w:cs="Arial" w:eastAsia="Arial" w:hAnsi="Arial"/>
          <w:sz w:val="20"/>
          <w:szCs w:val="20"/>
        </w:rPr>
        <w:t xml:space="preserve">Updated the abstract to align with the corrected metric language.</w:t>
      </w:r>
    </w:p>
    <w:p>
      <w:pPr>
        <w:spacing w:after="200"/>
      </w:pPr>
    </w:p>
    <w:p>
      <w:pPr>
        <w:pBdr>
          <w:bottom w:val="single" w:color="AAAAAA" w:sz="4"/>
        </w:pBdr>
        <w:spacing w:after="100" w:before="100"/>
      </w:pPr>
    </w:p>
    <w:p>
      <w:pPr>
        <w:spacing w:after="120"/>
        <w:jc w:val="left"/>
      </w:pPr>
      <w:r>
        <w:rPr>
          <w:rFonts w:ascii="Arial" w:cs="Arial" w:eastAsia="Arial" w:hAnsi="Arial"/>
          <w:sz w:val="20"/>
          <w:szCs w:val="20"/>
        </w:rPr>
        <w:t xml:space="preserve">We hope these revisions fully address the reviewer’s concerns. We remain available to provide any additional clarification or supplementary material if required.</w:t>
      </w:r>
    </w:p>
    <w:p>
      <w:pPr>
        <w:spacing w:after="80"/>
      </w:pPr>
    </w:p>
    <w:p>
      <w:pPr>
        <w:spacing w:after="120"/>
        <w:jc w:val="left"/>
      </w:pPr>
      <w:r>
        <w:rPr>
          <w:rFonts w:ascii="Arial" w:cs="Arial" w:eastAsia="Arial" w:hAnsi="Arial"/>
          <w:sz w:val="20"/>
          <w:szCs w:val="20"/>
        </w:rPr>
        <w:t xml:space="preserve">Sincerely,</w:t>
      </w:r>
    </w:p>
    <w:p>
      <w:pPr>
        <w:spacing w:after="120"/>
        <w:jc w:val="left"/>
      </w:pPr>
      <w:r>
        <w:rPr>
          <w:rFonts w:ascii="Arial" w:cs="Arial" w:eastAsia="Arial" w:hAnsi="Arial"/>
          <w:sz w:val="20"/>
          <w:szCs w:val="20"/>
        </w:rPr>
        <w:t xml:space="preserve">Mona Alsbakhi, Majed Tabash, Anas Alsalool, Asma Sbaih</w:t>
      </w:r>
    </w:p>
    <w:p>
      <w:pPr>
        <w:spacing w:after="120"/>
        <w:jc w:val="left"/>
      </w:pPr>
      <w:r>
        <w:rPr>
          <w:rFonts w:ascii="Arial" w:cs="Arial" w:eastAsia="Arial" w:hAnsi="Arial"/>
          <w:sz w:val="20"/>
          <w:szCs w:val="20"/>
        </w:rPr>
        <w:t xml:space="preserve">Faculty of Engineering, Islamic University of Gaza / University of Seville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2026-05-25T16:54:17.484Z</dcterms:created>
  <dcterms:modified xsi:type="dcterms:W3CDTF">2026-05-25T16:54:17.484Z</dcterms:modified>
</cp:coreProperties>
</file>

<file path=docProps/custom.xml><?xml version="1.0" encoding="utf-8"?>
<Properties xmlns="http://schemas.openxmlformats.org/officeDocument/2006/custom-properties" xmlns:vt="http://schemas.openxmlformats.org/officeDocument/2006/docPropsVTypes"/>
</file>