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Response to Reviewers</w:t>
      </w:r>
    </w:p>
    <w:p>
      <w:pPr>
        <w:spacing w:after="60"/>
      </w:pPr>
      <w:r>
        <w:rPr>
          <w:rFonts w:ascii="Arial" w:cs="Arial" w:eastAsia="Arial" w:hAnsi="Arial"/>
          <w:color w:val="555555"/>
          <w:sz w:val="20"/>
          <w:szCs w:val="20"/>
        </w:rPr>
        <w:t xml:space="preserve">Manuscript: Hybrid Computed Torque Control and Soft Actor-Critic Framework for Sample-Efficient Robotic Manipulator Control</w:t>
      </w:r>
    </w:p>
    <w:p>
      <w:pPr>
        <w:spacing w:after="60"/>
      </w:pPr>
      <w:r>
        <w:rPr>
          <w:rFonts w:ascii="Arial" w:cs="Arial" w:eastAsia="Arial" w:hAnsi="Arial"/>
          <w:color w:val="555555"/>
          <w:sz w:val="20"/>
          <w:szCs w:val="20"/>
        </w:rPr>
        <w:t xml:space="preserve">Conference: CoDIT 2026  •  Submission 198  •  Revision: May 2026</w:t>
      </w:r>
    </w:p>
    <w:p>
      <w:pPr>
        <w:spacing w:after="60"/>
      </w:pPr>
      <w:r>
        <w:rPr>
          <w:rFonts w:ascii="Arial" w:cs="Arial" w:eastAsia="Arial" w:hAnsi="Arial"/>
          <w:color w:val="555555"/>
          <w:sz w:val="20"/>
          <w:szCs w:val="20"/>
        </w:rPr>
        <w:t xml:space="preserve">Authors: Mona Alsbakhi, Majed Tabash, Anas Alsalool, Asma Sbaih</w:t>
      </w:r>
    </w:p>
    <w:p>
      <w:pPr>
        <w:pBdr>
          <w:bottom w:val="single" w:color="BBBBBB" w:sz="3"/>
        </w:pBdr>
        <w:spacing w:after="100" w:before="100"/>
      </w:pPr>
    </w:p>
    <w:p>
      <w:pPr>
        <w:spacing w:after="80"/>
      </w:pPr>
    </w:p>
    <w:p>
      <w:pPr>
        <w:spacing w:after="120" w:before="0"/>
        <w:jc w:val="both"/>
      </w:pPr>
      <w:r>
        <w:rPr>
          <w:rFonts w:ascii="Arial" w:cs="Arial" w:eastAsia="Arial" w:hAnsi="Arial"/>
          <w:sz w:val="20"/>
          <w:szCs w:val="20"/>
        </w:rPr>
        <w:t xml:space="preserve">We sincerely thank all three reviewers for their careful and constructive feedback. We have addressed every comment in the revised manuscript. Specific text additions and corrections are highlighted in blue in the revised manuscript. We respond to each reviewer in turn below.</w:t>
      </w:r>
    </w:p>
    <w:p>
      <w:pPr>
        <w:spacing w:after="160"/>
      </w:pPr>
    </w:p>
    <w:p>
      <w:pPr>
        <w:pBdr>
          <w:bottom w:val="single" w:color="1F4E79" w:sz="6"/>
        </w:pBdr>
        <w:spacing w:after="160" w:before="360"/>
      </w:pPr>
      <w:r>
        <w:rPr>
          <w:rFonts w:ascii="Arial" w:cs="Arial" w:eastAsia="Arial" w:hAnsi="Arial"/>
          <w:b/>
          <w:bCs/>
          <w:color w:val="1F4E79"/>
          <w:sz w:val="28"/>
          <w:szCs w:val="28"/>
        </w:rPr>
        <w:t xml:space="preserve">Response to Reviewer 1</w:t>
      </w:r>
    </w:p>
    <w:p>
      <w:pPr>
        <w:spacing w:after="80"/>
      </w:pPr>
    </w:p>
    <w:p>
      <w:pPr>
        <w:spacing w:after="60" w:before="160"/>
      </w:pPr>
      <w:r>
        <w:rPr>
          <w:rFonts w:ascii="Arial" w:cs="Arial" w:eastAsia="Arial" w:hAnsi="Arial"/>
          <w:b/>
          <w:bCs/>
          <w:color w:val="1F4E79"/>
          <w:sz w:val="20"/>
          <w:szCs w:val="20"/>
        </w:rPr>
        <w:t xml:space="preserve">Comment 1</w:t>
      </w:r>
    </w:p>
    <w:p>
      <w:pPr>
        <w:pBdr>
          <w:left w:val="single" w:color="2E75B6" w:sz="16" w:space="8"/>
        </w:pBdr>
        <w:spacing w:after="100" w:before="80"/>
        <w:ind w:left="720"/>
      </w:pPr>
      <w:r>
        <w:rPr>
          <w:rFonts w:ascii="Arial" w:cs="Arial" w:eastAsia="Arial" w:hAnsi="Arial"/>
          <w:i/>
          <w:iCs/>
          <w:color w:val="444444"/>
          <w:sz w:val="19"/>
          <w:szCs w:val="19"/>
        </w:rPr>
        <w:t xml:space="preserve">Please think about the paper title; the abbreviation CTC-SAC might not be understandable for all readers.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appreciate this suggestion. We have revised the title to spell out both components in full, improving accessibility for readers unfamiliar with either abbreviation. The revised title is: "Physics-Informed Residual Reinforcement Learning via Computed Torque Control and Soft Actor-Critic for Robotic Manipulator Trajectory Tracking". This makes the approach immediately clear without requiring prior knowledge of either acronym.</w:t>
      </w:r>
    </w:p>
    <w:p>
      <w:pPr>
        <w:spacing w:after="80"/>
      </w:pPr>
    </w:p>
    <w:p>
      <w:pPr>
        <w:spacing w:after="60" w:before="160"/>
      </w:pPr>
      <w:r>
        <w:rPr>
          <w:rFonts w:ascii="Arial" w:cs="Arial" w:eastAsia="Arial" w:hAnsi="Arial"/>
          <w:b/>
          <w:bCs/>
          <w:color w:val="1F4E79"/>
          <w:sz w:val="20"/>
          <w:szCs w:val="20"/>
        </w:rPr>
        <w:t xml:space="preserve">Comment 2</w:t>
      </w:r>
    </w:p>
    <w:p>
      <w:pPr>
        <w:pBdr>
          <w:left w:val="single" w:color="2E75B6" w:sz="16" w:space="8"/>
        </w:pBdr>
        <w:spacing w:after="100" w:before="80"/>
        <w:ind w:left="720"/>
      </w:pPr>
      <w:r>
        <w:rPr>
          <w:rFonts w:ascii="Arial" w:cs="Arial" w:eastAsia="Arial" w:hAnsi="Arial"/>
          <w:i/>
          <w:iCs/>
          <w:color w:val="444444"/>
          <w:sz w:val="19"/>
          <w:szCs w:val="19"/>
        </w:rPr>
        <w:t xml:space="preserve">The Introduction section could be finalized via a short paragraph summarising the content of the rest of the paper, referring to individual sections.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This is a valid point. We have added the following paragraph at the end of the Introduction (Section I):</w:t>
      </w:r>
    </w:p>
    <w:p>
      <w:pPr>
        <w:pBdr>
          <w:left w:val="single" w:color="2E75B6" w:sz="16" w:space="8"/>
        </w:pBdr>
        <w:spacing w:after="100" w:before="80"/>
        <w:ind w:left="720"/>
      </w:pPr>
      <w:r>
        <w:rPr>
          <w:rFonts w:ascii="Arial" w:cs="Arial" w:eastAsia="Arial" w:hAnsi="Arial"/>
          <w:i/>
          <w:iCs/>
          <w:color w:val="444444"/>
          <w:sz w:val="19"/>
          <w:szCs w:val="19"/>
        </w:rPr>
        <w:t xml:space="preserve">"The remainder of this paper is organised as follows. Section II reviews related work on reinforcement learning and hybrid control approaches for robotic manipulators. Section III presents the dynamic modelling of the 2-DOF manipulator using the Lagrangian formulation. Section IV introduces the proposed hybrid CTC+SAC framework and the residual learning strategy. Experimental setup and performance evaluation in CoppeliaSim are presented in Section V. Finally, Section VI concludes the paper and outlines directions for future research."</w:t>
      </w:r>
    </w:p>
    <w:p>
      <w:pPr>
        <w:spacing w:after="80"/>
      </w:pPr>
    </w:p>
    <w:p>
      <w:pPr>
        <w:spacing w:after="60" w:before="160"/>
      </w:pPr>
      <w:r>
        <w:rPr>
          <w:rFonts w:ascii="Arial" w:cs="Arial" w:eastAsia="Arial" w:hAnsi="Arial"/>
          <w:b/>
          <w:bCs/>
          <w:color w:val="1F4E79"/>
          <w:sz w:val="20"/>
          <w:szCs w:val="20"/>
        </w:rPr>
        <w:t xml:space="preserve">Comment 3</w:t>
      </w:r>
    </w:p>
    <w:p>
      <w:pPr>
        <w:pBdr>
          <w:left w:val="single" w:color="2E75B6" w:sz="16" w:space="8"/>
        </w:pBdr>
        <w:spacing w:after="100" w:before="80"/>
        <w:ind w:left="720"/>
      </w:pPr>
      <w:r>
        <w:rPr>
          <w:rFonts w:ascii="Arial" w:cs="Arial" w:eastAsia="Arial" w:hAnsi="Arial"/>
          <w:i/>
          <w:iCs/>
          <w:color w:val="444444"/>
          <w:sz w:val="19"/>
          <w:szCs w:val="19"/>
        </w:rPr>
        <w:t xml:space="preserve">The sentence "While PID controllers only react to errors" raises questions. PID parameters could be optimised based on a system model, and advanced structures (2-DOF form, derivative filter, cascade control) exist.</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makes an important and correct point. We have revised the sentence to be more precise and to acknowledge advanced PID structures. The revised text in Section IV-C reads:</w:t>
      </w:r>
    </w:p>
    <w:p>
      <w:pPr>
        <w:pBdr>
          <w:left w:val="single" w:color="2E75B6" w:sz="16" w:space="8"/>
        </w:pBdr>
        <w:spacing w:after="100" w:before="80"/>
        <w:ind w:left="720"/>
      </w:pPr>
      <w:r>
        <w:rPr>
          <w:rFonts w:ascii="Arial" w:cs="Arial" w:eastAsia="Arial" w:hAnsi="Arial"/>
          <w:i/>
          <w:iCs/>
          <w:color w:val="444444"/>
          <w:sz w:val="19"/>
          <w:szCs w:val="19"/>
        </w:rPr>
        <w:t xml:space="preserve">"While conventional joint-space PID controllers generate corrective torques based primarily on tracking errors without explicitly embedding the complete nonlinear manipulator dynamics, we note that advanced PID structures — including model-based gain scheduling, feedforward compensation, and 2-DOF or cascade configurations — can partially incorporate system knowledge. However, even these enhanced PID variants do not analytically account for the full inertial, Coriolis, and gravitational coupling inherent in the Lagrangian equations of motion, which is the key distinction motivating our use of CTC as the base controller."</w:t>
      </w:r>
    </w:p>
    <w:p>
      <w:pPr>
        <w:spacing w:after="80"/>
      </w:pPr>
    </w:p>
    <w:p>
      <w:pPr>
        <w:spacing w:after="60" w:before="160"/>
      </w:pPr>
      <w:r>
        <w:rPr>
          <w:rFonts w:ascii="Arial" w:cs="Arial" w:eastAsia="Arial" w:hAnsi="Arial"/>
          <w:b/>
          <w:bCs/>
          <w:color w:val="1F4E79"/>
          <w:sz w:val="20"/>
          <w:szCs w:val="20"/>
        </w:rPr>
        <w:t xml:space="preserve">Comment 4</w:t>
      </w:r>
    </w:p>
    <w:p>
      <w:pPr>
        <w:pBdr>
          <w:left w:val="single" w:color="2E75B6" w:sz="16" w:space="8"/>
        </w:pBdr>
        <w:spacing w:after="100" w:before="80"/>
        <w:ind w:left="720"/>
      </w:pPr>
      <w:r>
        <w:rPr>
          <w:rFonts w:ascii="Arial" w:cs="Arial" w:eastAsia="Arial" w:hAnsi="Arial"/>
          <w:i/>
          <w:iCs/>
          <w:color w:val="444444"/>
          <w:sz w:val="19"/>
          <w:szCs w:val="19"/>
        </w:rPr>
        <w:t xml:space="preserve">More details about the PID controller form and control structure considered in the paper would be nice.</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added a clarifying note in Section IV-C specifying the PID baseline assumed in our analysis. The added text states that we refer to the standard joint-space PID form used in the residual RL literature (see Table I, references [9]–[11]):</w:t>
      </w:r>
    </w:p>
    <w:p>
      <w:pPr>
        <w:pBdr>
          <w:left w:val="single" w:color="2E75B6" w:sz="16" w:space="8"/>
        </w:pBdr>
        <w:spacing w:after="100" w:before="80"/>
        <w:ind w:left="720"/>
      </w:pPr>
      <w:r>
        <w:rPr>
          <w:rFonts w:ascii="Arial" w:cs="Arial" w:eastAsia="Arial" w:hAnsi="Arial"/>
          <w:i/>
          <w:iCs/>
          <w:color w:val="444444"/>
          <w:sz w:val="19"/>
          <w:szCs w:val="19"/>
        </w:rPr>
        <w:t xml:space="preserve">"In this work, the PID baseline refers to the conventional decentralised joint-space PID controller of the form τ_PID = K_p e + K_i ∫ e dt + K_d ė̇, where each joint is controlled independently without cross-coupling. This is the form adopted in the residual RL studies listed in Table I and serves as the appropriate reference point for comparing base controller quality."</w:t>
      </w:r>
    </w:p>
    <w:p>
      <w:pPr>
        <w:spacing w:after="80"/>
      </w:pPr>
    </w:p>
    <w:p>
      <w:pPr>
        <w:spacing w:after="60" w:before="160"/>
      </w:pPr>
      <w:r>
        <w:rPr>
          <w:rFonts w:ascii="Arial" w:cs="Arial" w:eastAsia="Arial" w:hAnsi="Arial"/>
          <w:b/>
          <w:bCs/>
          <w:color w:val="1F4E79"/>
          <w:sz w:val="20"/>
          <w:szCs w:val="20"/>
        </w:rPr>
        <w:t xml:space="preserve">Comment 5</w:t>
      </w:r>
    </w:p>
    <w:p>
      <w:pPr>
        <w:pBdr>
          <w:left w:val="single" w:color="2E75B6" w:sz="16" w:space="8"/>
        </w:pBdr>
        <w:spacing w:after="100" w:before="80"/>
        <w:ind w:left="720"/>
      </w:pPr>
      <w:r>
        <w:rPr>
          <w:rFonts w:ascii="Arial" w:cs="Arial" w:eastAsia="Arial" w:hAnsi="Arial"/>
          <w:i/>
          <w:iCs/>
          <w:color w:val="444444"/>
          <w:sz w:val="19"/>
          <w:szCs w:val="19"/>
        </w:rPr>
        <w:t xml:space="preserve">Stability aspects are considered only from a learning process point of view. More discussion about stability of the feedback control loop would make the concept more convincing.</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expanded Section IV-G to include a more substantive stability discussion beyond learning convergence. The revised text now addresses closed-loop stability considerations:</w:t>
      </w:r>
    </w:p>
    <w:p>
      <w:pPr>
        <w:pBdr>
          <w:left w:val="single" w:color="2E75B6" w:sz="16" w:space="8"/>
        </w:pBdr>
        <w:spacing w:after="100" w:before="80"/>
        <w:ind w:left="720"/>
      </w:pPr>
      <w:r>
        <w:rPr>
          <w:rFonts w:ascii="Arial" w:cs="Arial" w:eastAsia="Arial" w:hAnsi="Arial"/>
          <w:i/>
          <w:iCs/>
          <w:color w:val="444444"/>
          <w:sz w:val="19"/>
          <w:szCs w:val="19"/>
        </w:rPr>
        <w:t xml:space="preserve">"The CTC component acts as a nominal stabilising controller derived from the analytical robot dynamics. Under perfect model knowledge, CTC linearises and decouples the system, yielding exponentially stable tracking when combined with the PD feedback terms (K_p, K_d). In the presence of residual model uncertainty, the SAC agent adds bounded corrective torques within ±5 N·m. The boundedness of these residual actions limits their destabilising influence. Although a formal Lyapunov proof for the complete CTC+SAC closed loop is beyond the scope of this work and is identified as future work, the framework demonstrated stable closed-loop behaviour throughout all 200 training episodes and all evaluation runs, with no divergence or instability observed."</w:t>
      </w:r>
    </w:p>
    <w:p>
      <w:pPr>
        <w:spacing w:after="80"/>
      </w:pPr>
    </w:p>
    <w:p>
      <w:pPr>
        <w:spacing w:after="60" w:before="160"/>
      </w:pPr>
      <w:r>
        <w:rPr>
          <w:rFonts w:ascii="Arial" w:cs="Arial" w:eastAsia="Arial" w:hAnsi="Arial"/>
          <w:b/>
          <w:bCs/>
          <w:color w:val="1F4E79"/>
          <w:sz w:val="20"/>
          <w:szCs w:val="20"/>
        </w:rPr>
        <w:t xml:space="preserve">Comment 6</w:t>
      </w:r>
    </w:p>
    <w:p>
      <w:pPr>
        <w:pBdr>
          <w:left w:val="single" w:color="2E75B6" w:sz="16" w:space="8"/>
        </w:pBdr>
        <w:spacing w:after="100" w:before="80"/>
        <w:ind w:left="720"/>
      </w:pPr>
      <w:r>
        <w:rPr>
          <w:rFonts w:ascii="Arial" w:cs="Arial" w:eastAsia="Arial" w:hAnsi="Arial"/>
          <w:i/>
          <w:iCs/>
          <w:color w:val="444444"/>
          <w:sz w:val="19"/>
          <w:szCs w:val="19"/>
        </w:rPr>
        <w:t xml:space="preserve">More robust testing of the CTC+SAC framework for different manipulator configurations, more complex trajectories, etc. is recommended.</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fully agree that broader experimental validation would strengthen the results. The current work is deliberately scoped to a single trajectory to isolate the effect of the CTC base controller on sample efficiency and residual learning. We have added the following to Section VI-B (Future Work):</w:t>
      </w:r>
    </w:p>
    <w:p>
      <w:pPr>
        <w:pBdr>
          <w:left w:val="single" w:color="2E75B6" w:sz="16" w:space="8"/>
        </w:pBdr>
        <w:spacing w:after="100" w:before="80"/>
        <w:ind w:left="720"/>
      </w:pPr>
      <w:r>
        <w:rPr>
          <w:rFonts w:ascii="Arial" w:cs="Arial" w:eastAsia="Arial" w:hAnsi="Arial"/>
          <w:i/>
          <w:iCs/>
          <w:color w:val="444444"/>
          <w:sz w:val="19"/>
          <w:szCs w:val="19"/>
        </w:rPr>
        <w:t xml:space="preserve">"Future evaluations will include sinusoidal trajectories at multiple frequencies and amplitudes, step-reference point-to-point motions, and evaluation under perturbed robot parameters (parametric uncertainty). Extension to higher-DOF configurations and real Kinova Mico hardware validation are also planned."</w:t>
      </w:r>
    </w:p>
    <w:p>
      <w:pPr>
        <w:spacing w:after="80"/>
      </w:pPr>
    </w:p>
    <w:p>
      <w:pPr>
        <w:spacing w:after="60" w:before="160"/>
      </w:pPr>
      <w:r>
        <w:rPr>
          <w:rFonts w:ascii="Arial" w:cs="Arial" w:eastAsia="Arial" w:hAnsi="Arial"/>
          <w:b/>
          <w:bCs/>
          <w:color w:val="1F4E79"/>
          <w:sz w:val="20"/>
          <w:szCs w:val="20"/>
        </w:rPr>
        <w:t xml:space="preserve">Comment 7</w:t>
      </w:r>
    </w:p>
    <w:p>
      <w:pPr>
        <w:pBdr>
          <w:left w:val="single" w:color="2E75B6" w:sz="16" w:space="8"/>
        </w:pBdr>
        <w:spacing w:after="100" w:before="80"/>
        <w:ind w:left="720"/>
      </w:pPr>
      <w:r>
        <w:rPr>
          <w:rFonts w:ascii="Arial" w:cs="Arial" w:eastAsia="Arial" w:hAnsi="Arial"/>
          <w:i/>
          <w:iCs/>
          <w:color w:val="444444"/>
          <w:sz w:val="19"/>
          <w:szCs w:val="19"/>
        </w:rPr>
        <w:t xml:space="preserve">A summary figure showing the kinematic structure of the manipulator with variable notations would be helpful.</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A kinematic diagram of the 2-DOF planar manipulator has been added as Figure 1 in the revised manuscript (Section III-A). The figure shows both links with lengths L₁ and L₂, joint angles θ₁ and θ₂ (with sign conventions), the centre-of-mass positions l_{c1} and l_{c2}, and the gravitational direction. The figure is accompanied by a caption defining all variable notations used in the dynamic model.</w:t>
      </w:r>
    </w:p>
    <w:p>
      <w:pPr>
        <w:spacing w:after="80"/>
      </w:pPr>
    </w:p>
    <w:p>
      <w:pPr>
        <w:spacing w:after="60" w:before="160"/>
      </w:pPr>
      <w:r>
        <w:rPr>
          <w:rFonts w:ascii="Arial" w:cs="Arial" w:eastAsia="Arial" w:hAnsi="Arial"/>
          <w:b/>
          <w:bCs/>
          <w:color w:val="1F4E79"/>
          <w:sz w:val="20"/>
          <w:szCs w:val="20"/>
        </w:rPr>
        <w:t xml:space="preserve">Comment 8</w:t>
      </w:r>
    </w:p>
    <w:p>
      <w:pPr>
        <w:pBdr>
          <w:left w:val="single" w:color="2E75B6" w:sz="16" w:space="8"/>
        </w:pBdr>
        <w:spacing w:after="100" w:before="80"/>
        <w:ind w:left="720"/>
      </w:pPr>
      <w:r>
        <w:rPr>
          <w:rFonts w:ascii="Arial" w:cs="Arial" w:eastAsia="Arial" w:hAnsi="Arial"/>
          <w:i/>
          <w:iCs/>
          <w:color w:val="444444"/>
          <w:sz w:val="19"/>
          <w:szCs w:val="19"/>
        </w:rPr>
        <w:t xml:space="preserve">The Conclusions section might be completed via a few ideas for future research work.</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original manuscript did include a brief Future Work subsection (Section VI-B). In response to this comment and Comment 6 above, we have substantially expanded it to include: (1) real-robot validation on the Kinova Mico hardware, (2) extension to higher-DOF manipulators with domain randomisation, (3) online adaptation for time-varying uncertainties, (4) formal Lyapunov stability analysis for the full CTC+SAC loop, (5) testing with more complex and diverse trajectories, and (6) a direct experimental comparison with a PID+SAC baseline.</w:t>
      </w:r>
    </w:p>
    <w:p>
      <w:pPr>
        <w:spacing w:after="80"/>
      </w:pPr>
    </w:p>
    <w:p>
      <w:pPr>
        <w:spacing w:after="60" w:before="160"/>
      </w:pPr>
      <w:r>
        <w:rPr>
          <w:rFonts w:ascii="Arial" w:cs="Arial" w:eastAsia="Arial" w:hAnsi="Arial"/>
          <w:b/>
          <w:bCs/>
          <w:color w:val="1F4E79"/>
          <w:sz w:val="20"/>
          <w:szCs w:val="20"/>
        </w:rPr>
        <w:t xml:space="preserve">Comment 9</w:t>
      </w:r>
    </w:p>
    <w:p>
      <w:pPr>
        <w:pBdr>
          <w:left w:val="single" w:color="2E75B6" w:sz="16" w:space="8"/>
        </w:pBdr>
        <w:spacing w:after="100" w:before="80"/>
        <w:ind w:left="720"/>
      </w:pPr>
      <w:r>
        <w:rPr>
          <w:rFonts w:ascii="Arial" w:cs="Arial" w:eastAsia="Arial" w:hAnsi="Arial"/>
          <w:i/>
          <w:iCs/>
          <w:color w:val="444444"/>
          <w:sz w:val="19"/>
          <w:szCs w:val="19"/>
        </w:rPr>
        <w:t xml:space="preserve">A few more links to the authors' previous works would be nice (if any) in order to track the research baseline.</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thank the reviewer for this suggestion. The present paper represents the authors' first publication in the area of hybrid model-based/reinforcement learning control. We therefore have no directly preceding works to cite on this specific topic. The GitHub repository containing the implementation code is already cited in the manuscript (Reference [16]) and is publicly accessible, allowing readers to track and build upon this research baseline.</w:t>
      </w:r>
    </w:p>
    <w:p>
      <w:pPr>
        <w:spacing w:after="160"/>
      </w:pPr>
    </w:p>
    <w:p>
      <w:r>
        <w:br w:type="page"/>
      </w:r>
    </w:p>
    <w:p>
      <w:pPr>
        <w:pBdr>
          <w:bottom w:val="single" w:color="1F4E79" w:sz="6"/>
        </w:pBdr>
        <w:spacing w:after="160" w:before="360"/>
      </w:pPr>
      <w:r>
        <w:rPr>
          <w:rFonts w:ascii="Arial" w:cs="Arial" w:eastAsia="Arial" w:hAnsi="Arial"/>
          <w:b/>
          <w:bCs/>
          <w:color w:val="1F4E79"/>
          <w:sz w:val="28"/>
          <w:szCs w:val="28"/>
        </w:rPr>
        <w:t xml:space="preserve">Response to Reviewer 3</w:t>
      </w:r>
    </w:p>
    <w:p>
      <w:pPr>
        <w:spacing w:after="80"/>
      </w:pPr>
    </w:p>
    <w:p>
      <w:pPr>
        <w:spacing w:after="120" w:before="0"/>
        <w:jc w:val="both"/>
      </w:pPr>
      <w:r>
        <w:rPr>
          <w:rFonts w:ascii="Arial" w:cs="Arial" w:eastAsia="Arial" w:hAnsi="Arial"/>
          <w:b/>
          <w:bCs/>
          <w:sz w:val="20"/>
          <w:szCs w:val="20"/>
        </w:rPr>
        <w:t xml:space="preserve">Note: </w:t>
      </w:r>
      <w:r>
        <w:rPr>
          <w:rFonts w:ascii="Arial" w:cs="Arial" w:eastAsia="Arial" w:hAnsi="Arial"/>
          <w:sz w:val="20"/>
          <w:szCs w:val="20"/>
        </w:rPr>
        <w:t xml:space="preserve">Reviewer 3's comments take the form of eight comprehension questions. We interpret these as a check that the paper's key contributions and results are clearly communicated. All questions are fully answered within the current manuscript. We confirm the location of each answer below and note any text clarifications made as a result.</w:t>
      </w:r>
    </w:p>
    <w:p>
      <w:pPr>
        <w:spacing w:after="80"/>
      </w:pPr>
    </w:p>
    <w:p>
      <w:pPr>
        <w:spacing w:after="60" w:before="160"/>
      </w:pPr>
      <w:r>
        <w:rPr>
          <w:rFonts w:ascii="Arial" w:cs="Arial" w:eastAsia="Arial" w:hAnsi="Arial"/>
          <w:b/>
          <w:bCs/>
          <w:color w:val="1F4E79"/>
          <w:sz w:val="20"/>
          <w:szCs w:val="20"/>
        </w:rPr>
        <w:t xml:space="preserve">Question 1</w:t>
      </w:r>
    </w:p>
    <w:p>
      <w:pPr>
        <w:pBdr>
          <w:left w:val="single" w:color="2E75B6" w:sz="16" w:space="8"/>
        </w:pBdr>
        <w:spacing w:after="100" w:before="80"/>
        <w:ind w:left="720"/>
      </w:pPr>
      <w:r>
        <w:rPr>
          <w:rFonts w:ascii="Arial" w:cs="Arial" w:eastAsia="Arial" w:hAnsi="Arial"/>
          <w:i/>
          <w:iCs/>
          <w:color w:val="444444"/>
          <w:sz w:val="19"/>
          <w:szCs w:val="19"/>
        </w:rPr>
        <w:t xml:space="preserve">What is the fundamental difference between the proposed approach (CTC+SAC) and previous approaches that combine a PID controller with reinforcement learning?</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Sections I and IV-C. CTC, unlike PID, explicitly incorporates the complete nonlinear manipulator dynamics (inertia matrix M(q), Coriolis matrix C(q,q̇), and gravity vector G(q)) into the control law. This provides approximately 90% of the required control torque analytically, leaving only a ~10% residual for the SAC agent. PID-based residual RL approaches provide only ~50% of the required torque, placing a much larger learning burden on the RL agent. Table III in the paper provides a structured comparison of the two base controllers across six criteria.</w:t>
      </w:r>
    </w:p>
    <w:p>
      <w:pPr>
        <w:spacing w:after="80"/>
      </w:pPr>
    </w:p>
    <w:p>
      <w:pPr>
        <w:spacing w:after="60" w:before="160"/>
      </w:pPr>
      <w:r>
        <w:rPr>
          <w:rFonts w:ascii="Arial" w:cs="Arial" w:eastAsia="Arial" w:hAnsi="Arial"/>
          <w:b/>
          <w:bCs/>
          <w:color w:val="1F4E79"/>
          <w:sz w:val="20"/>
          <w:szCs w:val="20"/>
        </w:rPr>
        <w:t xml:space="preserve">Question 2</w:t>
      </w:r>
    </w:p>
    <w:p>
      <w:pPr>
        <w:pBdr>
          <w:left w:val="single" w:color="2E75B6" w:sz="16" w:space="8"/>
        </w:pBdr>
        <w:spacing w:after="100" w:before="80"/>
        <w:ind w:left="720"/>
      </w:pPr>
      <w:r>
        <w:rPr>
          <w:rFonts w:ascii="Arial" w:cs="Arial" w:eastAsia="Arial" w:hAnsi="Arial"/>
          <w:i/>
          <w:iCs/>
          <w:color w:val="444444"/>
          <w:sz w:val="19"/>
          <w:szCs w:val="19"/>
        </w:rPr>
        <w:t xml:space="preserve">According to the paper, what proportion of the required torque does the CTC controller provide, and what proportion remains to be learned by the SAC agent?</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Sections I, IV-B, and IV-G. The CTC controller provides approximately 90% of the required control torque based on known physics; the SAC agent learns the remaining ~10% as bounded residual corrections (|τ_RL| ≤ 5 N·m).</w:t>
      </w:r>
    </w:p>
    <w:p>
      <w:pPr>
        <w:spacing w:after="80"/>
      </w:pPr>
    </w:p>
    <w:p>
      <w:pPr>
        <w:spacing w:after="60" w:before="160"/>
      </w:pPr>
      <w:r>
        <w:rPr>
          <w:rFonts w:ascii="Arial" w:cs="Arial" w:eastAsia="Arial" w:hAnsi="Arial"/>
          <w:b/>
          <w:bCs/>
          <w:color w:val="1F4E79"/>
          <w:sz w:val="20"/>
          <w:szCs w:val="20"/>
        </w:rPr>
        <w:t xml:space="preserve">Question 3</w:t>
      </w:r>
    </w:p>
    <w:p>
      <w:pPr>
        <w:pBdr>
          <w:left w:val="single" w:color="2E75B6" w:sz="16" w:space="8"/>
        </w:pBdr>
        <w:spacing w:after="100" w:before="80"/>
        <w:ind w:left="720"/>
      </w:pPr>
      <w:r>
        <w:rPr>
          <w:rFonts w:ascii="Arial" w:cs="Arial" w:eastAsia="Arial" w:hAnsi="Arial"/>
          <w:i/>
          <w:iCs/>
          <w:color w:val="444444"/>
          <w:sz w:val="19"/>
          <w:szCs w:val="19"/>
        </w:rPr>
        <w:t xml:space="preserve">What are the three main dynamic terms of a manipulator that the CTC controller takes into account, unlike the PID controller?</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III-B and Eq. (15). The three terms are: (1) the inertia matrix M(q) capturing joint-space inertial forces, (2) the Coriolis and centrifugal matrix C(q,q̇) capturing velocity-dependent coupling forces, and (3) the gravity vector G(q) capturing gravitational loading. All three are computed analytically from the Lagrangian model.</w:t>
      </w:r>
    </w:p>
    <w:p>
      <w:pPr>
        <w:spacing w:after="80"/>
      </w:pPr>
    </w:p>
    <w:p>
      <w:pPr>
        <w:spacing w:after="60" w:before="160"/>
      </w:pPr>
      <w:r>
        <w:rPr>
          <w:rFonts w:ascii="Arial" w:cs="Arial" w:eastAsia="Arial" w:hAnsi="Arial"/>
          <w:b/>
          <w:bCs/>
          <w:color w:val="1F4E79"/>
          <w:sz w:val="20"/>
          <w:szCs w:val="20"/>
        </w:rPr>
        <w:t xml:space="preserve">Question 4</w:t>
      </w:r>
    </w:p>
    <w:p>
      <w:pPr>
        <w:pBdr>
          <w:left w:val="single" w:color="2E75B6" w:sz="16" w:space="8"/>
        </w:pBdr>
        <w:spacing w:after="100" w:before="80"/>
        <w:ind w:left="720"/>
      </w:pPr>
      <w:r>
        <w:rPr>
          <w:rFonts w:ascii="Arial" w:cs="Arial" w:eastAsia="Arial" w:hAnsi="Arial"/>
          <w:i/>
          <w:iCs/>
          <w:color w:val="444444"/>
          <w:sz w:val="19"/>
          <w:szCs w:val="19"/>
        </w:rPr>
        <w:t xml:space="preserve">Which simulation environment was used to validate the proposed approach?</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V-A. CoppeliaSim (formerly V-REP) was used, interfaced via ZMQ Remote API running in a Docker container with ROS 2 Humble.</w:t>
      </w:r>
    </w:p>
    <w:p>
      <w:pPr>
        <w:spacing w:after="80"/>
      </w:pPr>
    </w:p>
    <w:p>
      <w:pPr>
        <w:spacing w:after="60" w:before="160"/>
      </w:pPr>
      <w:r>
        <w:rPr>
          <w:rFonts w:ascii="Arial" w:cs="Arial" w:eastAsia="Arial" w:hAnsi="Arial"/>
          <w:b/>
          <w:bCs/>
          <w:color w:val="1F4E79"/>
          <w:sz w:val="20"/>
          <w:szCs w:val="20"/>
        </w:rPr>
        <w:t xml:space="preserve">Question 5</w:t>
      </w:r>
    </w:p>
    <w:p>
      <w:pPr>
        <w:pBdr>
          <w:left w:val="single" w:color="2E75B6" w:sz="16" w:space="8"/>
        </w:pBdr>
        <w:spacing w:after="100" w:before="80"/>
        <w:ind w:left="720"/>
      </w:pPr>
      <w:r>
        <w:rPr>
          <w:rFonts w:ascii="Arial" w:cs="Arial" w:eastAsia="Arial" w:hAnsi="Arial"/>
          <w:i/>
          <w:iCs/>
          <w:color w:val="444444"/>
          <w:sz w:val="19"/>
          <w:szCs w:val="19"/>
        </w:rPr>
        <w:t xml:space="preserve">According to Table VI, what reduction in mean tracking error does the CTC+SAC approach achieve compared to CTC-only and compared to RL-only?</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V-C and Table VI. CTC+SAC achieves: (1) 58.6% reduction in mean tracking error compared to CTC-Only (2.36 rad vs. 5.70 rad), and (2) 44.1% reduction compared to RL-Only (2.36 rad vs. 4.23 rad).</w:t>
      </w:r>
    </w:p>
    <w:p>
      <w:pPr>
        <w:spacing w:after="80"/>
      </w:pPr>
    </w:p>
    <w:p>
      <w:pPr>
        <w:spacing w:after="60" w:before="160"/>
      </w:pPr>
      <w:r>
        <w:rPr>
          <w:rFonts w:ascii="Arial" w:cs="Arial" w:eastAsia="Arial" w:hAnsi="Arial"/>
          <w:b/>
          <w:bCs/>
          <w:color w:val="1F4E79"/>
          <w:sz w:val="20"/>
          <w:szCs w:val="20"/>
        </w:rPr>
        <w:t xml:space="preserve">Question 6</w:t>
      </w:r>
    </w:p>
    <w:p>
      <w:pPr>
        <w:pBdr>
          <w:left w:val="single" w:color="2E75B6" w:sz="16" w:space="8"/>
        </w:pBdr>
        <w:spacing w:after="100" w:before="80"/>
        <w:ind w:left="720"/>
      </w:pPr>
      <w:r>
        <w:rPr>
          <w:rFonts w:ascii="Arial" w:cs="Arial" w:eastAsia="Arial" w:hAnsi="Arial"/>
          <w:i/>
          <w:iCs/>
          <w:color w:val="444444"/>
          <w:sz w:val="19"/>
          <w:szCs w:val="19"/>
        </w:rPr>
        <w:t xml:space="preserve">In how many episodes did the CTC+SAC agent converge to a stable policy, unlike the RL-only agent?</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V-C (Training Behaviour). The CTC+SAC agent converged to a stable policy within approximately 50 episodes. The RL-Only agent did not converge within the 200-episode training budget, exhibiting errors exceeding 6000 rad during early training.</w:t>
      </w:r>
    </w:p>
    <w:p>
      <w:pPr>
        <w:spacing w:after="80"/>
      </w:pPr>
    </w:p>
    <w:p>
      <w:pPr>
        <w:spacing w:after="60" w:before="160"/>
      </w:pPr>
      <w:r>
        <w:rPr>
          <w:rFonts w:ascii="Arial" w:cs="Arial" w:eastAsia="Arial" w:hAnsi="Arial"/>
          <w:b/>
          <w:bCs/>
          <w:color w:val="1F4E79"/>
          <w:sz w:val="20"/>
          <w:szCs w:val="20"/>
        </w:rPr>
        <w:t xml:space="preserve">Question 7</w:t>
      </w:r>
    </w:p>
    <w:p>
      <w:pPr>
        <w:pBdr>
          <w:left w:val="single" w:color="2E75B6" w:sz="16" w:space="8"/>
        </w:pBdr>
        <w:spacing w:after="100" w:before="80"/>
        <w:ind w:left="720"/>
      </w:pPr>
      <w:r>
        <w:rPr>
          <w:rFonts w:ascii="Arial" w:cs="Arial" w:eastAsia="Arial" w:hAnsi="Arial"/>
          <w:i/>
          <w:iCs/>
          <w:color w:val="444444"/>
          <w:sz w:val="19"/>
          <w:szCs w:val="19"/>
        </w:rPr>
        <w:t xml:space="preserve">What are two limitations of the study mentioned in the conclusion?</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VI-A. The two main limitations are: (1) the experiments were conducted in simulation only, with no real-robot validation, and (2) there is significant model mismatch between the analytical Lagrangian dynamics and CoppeliaSim's physics engine, contributing to the large absolute tracking errors.</w:t>
      </w:r>
    </w:p>
    <w:p>
      <w:pPr>
        <w:spacing w:after="80"/>
      </w:pPr>
    </w:p>
    <w:p>
      <w:pPr>
        <w:spacing w:after="60" w:before="160"/>
      </w:pPr>
      <w:r>
        <w:rPr>
          <w:rFonts w:ascii="Arial" w:cs="Arial" w:eastAsia="Arial" w:hAnsi="Arial"/>
          <w:b/>
          <w:bCs/>
          <w:color w:val="1F4E79"/>
          <w:sz w:val="20"/>
          <w:szCs w:val="20"/>
        </w:rPr>
        <w:t xml:space="preserve">Question 8</w:t>
      </w:r>
    </w:p>
    <w:p>
      <w:pPr>
        <w:pBdr>
          <w:left w:val="single" w:color="2E75B6" w:sz="16" w:space="8"/>
        </w:pBdr>
        <w:spacing w:after="100" w:before="80"/>
        <w:ind w:left="720"/>
      </w:pPr>
      <w:r>
        <w:rPr>
          <w:rFonts w:ascii="Arial" w:cs="Arial" w:eastAsia="Arial" w:hAnsi="Arial"/>
          <w:i/>
          <w:iCs/>
          <w:color w:val="444444"/>
          <w:sz w:val="19"/>
          <w:szCs w:val="19"/>
        </w:rPr>
        <w:t xml:space="preserve">What is the main problem that this paper seeks to address regarding reinforcement learning applied to robotics?</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the Abstract and Section I. The main problem is sample inefficiency: standard RL algorithms require hundreds of thousands to millions of environment interactions to learn effective control policies, making them impractical for real-world robotic deployment where each interaction involves physical hardware, time costs, and safety risks.</w:t>
      </w:r>
    </w:p>
    <w:p>
      <w:pPr>
        <w:spacing w:after="80"/>
      </w:pPr>
    </w:p>
    <w:p>
      <w:pPr>
        <w:spacing w:after="80"/>
      </w:pPr>
    </w:p>
    <w:p>
      <w:r>
        <w:br w:type="page"/>
      </w:r>
    </w:p>
    <w:p>
      <w:pPr>
        <w:pBdr>
          <w:bottom w:val="single" w:color="1F4E79" w:sz="6"/>
        </w:pBdr>
        <w:spacing w:after="160" w:before="360"/>
      </w:pPr>
      <w:r>
        <w:rPr>
          <w:rFonts w:ascii="Arial" w:cs="Arial" w:eastAsia="Arial" w:hAnsi="Arial"/>
          <w:b/>
          <w:bCs/>
          <w:color w:val="1F4E79"/>
          <w:sz w:val="28"/>
          <w:szCs w:val="28"/>
        </w:rPr>
        <w:t xml:space="preserve">Response to Reviewer 8</w:t>
      </w:r>
    </w:p>
    <w:p>
      <w:pPr>
        <w:spacing w:after="80"/>
      </w:pPr>
    </w:p>
    <w:p>
      <w:pPr>
        <w:spacing w:after="120" w:before="0"/>
        <w:jc w:val="both"/>
      </w:pPr>
      <w:r>
        <w:rPr>
          <w:rFonts w:ascii="Arial" w:cs="Arial" w:eastAsia="Arial" w:hAnsi="Arial"/>
          <w:sz w:val="20"/>
          <w:szCs w:val="20"/>
        </w:rPr>
        <w:t xml:space="preserve">We thank Reviewer 8 for the thorough and technically detailed review. The reviewer identifies several important concerns, all of which we address below. We agree that the manuscript can be strengthened on the experimental side, and we have made substantive revisions in response.</w:t>
      </w:r>
    </w:p>
    <w:p>
      <w:pPr>
        <w:spacing w:after="80"/>
      </w:pPr>
    </w:p>
    <w:p>
      <w:pPr>
        <w:spacing w:after="60" w:before="160"/>
      </w:pPr>
      <w:r>
        <w:rPr>
          <w:rFonts w:ascii="Arial" w:cs="Arial" w:eastAsia="Arial" w:hAnsi="Arial"/>
          <w:b/>
          <w:bCs/>
          <w:color w:val="1F4E79"/>
          <w:sz w:val="20"/>
          <w:szCs w:val="20"/>
        </w:rPr>
        <w:t xml:space="preserve">Concern 1 — Missing PID+RL Direct Baseline</w:t>
      </w:r>
    </w:p>
    <w:p>
      <w:pPr>
        <w:pBdr>
          <w:left w:val="single" w:color="2E75B6" w:sz="16" w:space="8"/>
        </w:pBdr>
        <w:spacing w:after="100" w:before="80"/>
        <w:ind w:left="720"/>
      </w:pPr>
      <w:r>
        <w:rPr>
          <w:rFonts w:ascii="Arial" w:cs="Arial" w:eastAsia="Arial" w:hAnsi="Arial"/>
          <w:i/>
          <w:iCs/>
          <w:color w:val="444444"/>
          <w:sz w:val="19"/>
          <w:szCs w:val="19"/>
        </w:rPr>
        <w:t xml:space="preserve">The whole paper argues that CTC is a better residual-learning base controller than PID, but the experiments do not include a direct PID+RL baseline. Without such a comparison, the central claim is not convincingly demonstrated experimentally. A direct comparison to PID+SAC or PID+TD3 under the same setup is necessary.</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raises the most important experimental gap in the paper, and we fully acknowledge it. The ideal revision would include a direct PID+SAC experiment under identical conditions. We are committed to conducting this experiment for the final version or extended journal submission; however, given the revision timeline and the complexity of correctly tuning and evaluating a PID+SAC baseline in the same CoppeliaSim environment, we are unable to include the full experimental results in this revision.</w:t>
      </w:r>
    </w:p>
    <w:p>
      <w:pPr>
        <w:spacing w:after="120" w:before="0"/>
        <w:jc w:val="both"/>
      </w:pPr>
      <w:r>
        <w:rPr>
          <w:rFonts w:ascii="Arial" w:cs="Arial" w:eastAsia="Arial" w:hAnsi="Arial"/>
          <w:sz w:val="20"/>
          <w:szCs w:val="20"/>
        </w:rPr>
        <w:t xml:space="preserve">In the revised manuscript, we address this limitation in three ways:</w:t>
      </w:r>
    </w:p>
    <w:p>
      <w:pPr>
        <w:pStyle w:val="ListParagraph"/>
        <w:numPr>
          <w:ilvl w:val="0"/>
          <w:numId w:val="2"/>
        </w:numPr>
        <w:spacing w:after="80"/>
      </w:pPr>
      <w:r>
        <w:rPr>
          <w:rFonts w:ascii="Arial" w:cs="Arial" w:eastAsia="Arial" w:hAnsi="Arial"/>
          <w:sz w:val="20"/>
          <w:szCs w:val="20"/>
        </w:rPr>
        <w:t xml:space="preserve">We have strengthened the theoretical justification in Section IV-C, which now includes an analytical torque decomposition showing that CTC supplies ~90% of the required feedforward torque on the nominal trajectory, while a comparable PID controller (with gains K_p = [100, 50], K_d = [20, 10]) supplies only ~50–60%. This analysis is grounded in the Lagrangian model and provides the mechanistic basis for our claim.</w:t>
      </w:r>
    </w:p>
    <w:p>
      <w:pPr>
        <w:pStyle w:val="ListParagraph"/>
        <w:numPr>
          <w:ilvl w:val="0"/>
          <w:numId w:val="2"/>
        </w:numPr>
        <w:spacing w:after="80"/>
      </w:pPr>
      <w:r>
        <w:rPr>
          <w:rFonts w:ascii="Arial" w:cs="Arial" w:eastAsia="Arial" w:hAnsi="Arial"/>
          <w:sz w:val="20"/>
          <w:szCs w:val="20"/>
        </w:rPr>
        <w:t xml:space="preserve">We cite the most relevant existing literature (Hazem et al. [10], [11]) as indirect evidence: both papers report PID+TD3 and PID+DDPG on a comparable 5-DOF setup, and their reported mean tracking errors are consistent with the hypothesis that PID-based residual RL converges more slowly and less accurately than a physics-informed base controller.</w:t>
      </w:r>
    </w:p>
    <w:p>
      <w:pPr>
        <w:pStyle w:val="ListParagraph"/>
        <w:numPr>
          <w:ilvl w:val="0"/>
          <w:numId w:val="2"/>
        </w:numPr>
        <w:spacing w:after="80"/>
      </w:pPr>
      <w:r>
        <w:rPr>
          <w:rFonts w:ascii="Arial" w:cs="Arial" w:eastAsia="Arial" w:hAnsi="Arial"/>
          <w:sz w:val="20"/>
          <w:szCs w:val="20"/>
        </w:rPr>
        <w:t xml:space="preserve">We have added the following explicit statement to Section VI-A (Limitations) and to Future Work: "The primary experimental limitation is the absence of a direct PID+SAC comparison within the same CoppeliaSim environment. This comparison is required to empirically substantiate the core claim and is the highest priority for future work."</w:t>
      </w:r>
    </w:p>
    <w:p>
      <w:pPr>
        <w:spacing w:after="120" w:before="0"/>
        <w:jc w:val="both"/>
      </w:pPr>
      <w:r>
        <w:rPr>
          <w:rFonts w:ascii="Arial" w:cs="Arial" w:eastAsia="Arial" w:hAnsi="Arial"/>
          <w:sz w:val="20"/>
          <w:szCs w:val="20"/>
        </w:rPr>
        <w:t xml:space="preserve">We recognise that this does not fully satisfy the reviewer's request for a direct comparison. The theoretical analysis and literature reference provide supportive evidence, but we agree that a controlled experiment would be significantly more convincing, and we commit to providing it in follow-on work.</w:t>
      </w:r>
    </w:p>
    <w:p>
      <w:pPr>
        <w:spacing w:after="80"/>
      </w:pPr>
    </w:p>
    <w:p>
      <w:pPr>
        <w:spacing w:after="60" w:before="160"/>
      </w:pPr>
      <w:r>
        <w:rPr>
          <w:rFonts w:ascii="Arial" w:cs="Arial" w:eastAsia="Arial" w:hAnsi="Arial"/>
          <w:b/>
          <w:bCs/>
          <w:color w:val="1F4E79"/>
          <w:sz w:val="20"/>
          <w:szCs w:val="20"/>
        </w:rPr>
        <w:t xml:space="preserve">Concern 2 — Internal Inconsistency in Table VI</w:t>
      </w:r>
    </w:p>
    <w:p>
      <w:pPr>
        <w:pBdr>
          <w:left w:val="single" w:color="2E75B6" w:sz="16" w:space="8"/>
        </w:pBdr>
        <w:spacing w:after="100" w:before="80"/>
        <w:ind w:left="720"/>
      </w:pPr>
      <w:r>
        <w:rPr>
          <w:rFonts w:ascii="Arial" w:cs="Arial" w:eastAsia="Arial" w:hAnsi="Arial"/>
          <w:i/>
          <w:iCs/>
          <w:color w:val="444444"/>
          <w:sz w:val="19"/>
          <w:szCs w:val="19"/>
        </w:rPr>
        <w:t xml:space="preserve">Table VI claims that the proposed method achieves the best performance across all metrics, but the table itself shows RL-Only has lower RMS error for both q1 and q2 than CTC+SAC, while CTC+SAC is better only in mean error. This is a serious internal inconsistency and should be corrected.</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is entirely correct, and we apologise for this error. The original claim was inaccurate and has been corrected in the revised manuscript.</w:t>
      </w:r>
    </w:p>
    <w:p>
      <w:pPr>
        <w:spacing w:after="120" w:before="0"/>
        <w:jc w:val="both"/>
      </w:pPr>
      <w:r>
        <w:rPr>
          <w:rFonts w:ascii="Arial" w:cs="Arial" w:eastAsia="Arial" w:hAnsi="Arial"/>
          <w:sz w:val="20"/>
          <w:szCs w:val="20"/>
        </w:rPr>
        <w:t xml:space="preserve">The inconsistency arises from a fundamental difference between the two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Metric</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Sensitivity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it captures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RMS Error</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Squares errors — large spikes dominate</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Worst-case / transient behaviour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Mean Absolute Error</w:t>
            </w:r>
          </w:p>
        </w:tc>
        <w:tc>
          <w:tcPr>
            <w:tcW w:type="dxa" w:w="2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Linear average — sustained behaviour</w:t>
            </w:r>
          </w:p>
        </w:tc>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Steady-state tracking quality</w:t>
            </w:r>
          </w:p>
        </w:tc>
      </w:tr>
    </w:tbl>
    <w:p>
      <w:pPr>
        <w:spacing w:after="80"/>
      </w:pPr>
    </w:p>
    <w:p>
      <w:pPr>
        <w:spacing w:after="120" w:before="0"/>
        <w:jc w:val="both"/>
      </w:pPr>
      <w:r>
        <w:rPr>
          <w:rFonts w:ascii="Arial" w:cs="Arial" w:eastAsia="Arial" w:hAnsi="Arial"/>
          <w:sz w:val="20"/>
          <w:szCs w:val="20"/>
        </w:rPr>
        <w:t xml:space="preserve">CTC+SAC produces a brief but large corrective torque during the initial transient (the robot starts from rest while the sinusoidal reference is already moving), leading to a peak q₁ error of 78.37 rad vs. 42.93 rad for RL-Only. Because RMS squares each sample, this short spike inflates the CTC+SAC RMS disproportionately. After the transient subsides, CTC+SAC achieves a substantially lower steady-state error.</w:t>
      </w:r>
    </w:p>
    <w:p>
      <w:pPr>
        <w:spacing w:after="80"/>
      </w:pPr>
    </w:p>
    <w:p>
      <w:pPr>
        <w:spacing w:after="120" w:before="0"/>
        <w:jc w:val="both"/>
      </w:pPr>
      <w:r>
        <w:rPr>
          <w:rFonts w:ascii="Arial" w:cs="Arial" w:eastAsia="Arial" w:hAnsi="Arial"/>
          <w:b/>
          <w:bCs/>
          <w:sz w:val="20"/>
          <w:szCs w:val="20"/>
        </w:rPr>
        <w:t xml:space="preserve">Updated Table VI in the revised manuscript: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RMS q₁ (rad)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RMS q₂ (rad)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Mean (rad)</w:t>
            </w:r>
          </w:p>
        </w:tc>
        <w:tc>
          <w:tcPr>
            <w:tcW w:type="dxa" w:w="1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SS Error (rad)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CTC-Only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6.43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2.48</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5.70</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5.21</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RL-Only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5.68  (↓best)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1.07  (↓best)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4.23</w:t>
            </w:r>
          </w:p>
        </w:tc>
        <w:tc>
          <w:tcPr>
            <w:tcW w:type="dxa" w:w="1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4.05</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CTC+SAC (Proposed)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6.41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1.55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i w:val="false"/>
                <w:iCs w:val="false"/>
                <w:sz w:val="18"/>
                <w:szCs w:val="18"/>
              </w:rPr>
              <w:t xml:space="preserve">2.36  (↓best)</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i w:val="false"/>
                <w:iCs w:val="false"/>
                <w:sz w:val="18"/>
                <w:szCs w:val="18"/>
              </w:rPr>
              <w:t xml:space="preserve">1.84  (↓best)</w:t>
            </w:r>
          </w:p>
        </w:tc>
      </w:tr>
    </w:tbl>
    <w:p>
      <w:pPr>
        <w:spacing w:after="80"/>
      </w:pPr>
    </w:p>
    <w:p>
      <w:pPr>
        <w:spacing w:after="120" w:before="0"/>
        <w:jc w:val="both"/>
      </w:pPr>
      <w:r>
        <w:rPr>
          <w:rFonts w:ascii="Arial" w:cs="Arial" w:eastAsia="Arial" w:hAnsi="Arial"/>
          <w:i/>
          <w:iCs/>
          <w:sz w:val="18"/>
          <w:szCs w:val="18"/>
        </w:rPr>
        <w:t xml:space="preserve">SS Error = mean error over last 50% of episode (t ≥ 5 s). Bold/↓best = lowest value in column.</w:t>
      </w:r>
    </w:p>
    <w:p>
      <w:pPr>
        <w:spacing w:after="80"/>
      </w:pPr>
    </w:p>
    <w:p>
      <w:pPr>
        <w:spacing w:after="120" w:before="0"/>
        <w:jc w:val="both"/>
      </w:pPr>
      <w:r>
        <w:rPr>
          <w:rFonts w:ascii="Arial" w:cs="Arial" w:eastAsia="Arial" w:hAnsi="Arial"/>
          <w:sz w:val="20"/>
          <w:szCs w:val="20"/>
        </w:rPr>
        <w:t xml:space="preserve">The corrected narrative now reads: "CTC+SAC achieves the lowest mean and steady-state tracking errors among all three methods, demonstrating superior sustained accuracy. RL-Only achieves lower RMS errors for both joints due to a smaller initial transient spike; however, it maintains a persistently higher error in steady state. The table has been extended with a Steady-State Error column (mean error for t ≥ 5 s) to clearly distinguish transient from settled behaviour."</w:t>
      </w:r>
    </w:p>
    <w:p>
      <w:pPr>
        <w:spacing w:after="80"/>
      </w:pPr>
    </w:p>
    <w:p>
      <w:pPr>
        <w:spacing w:after="60" w:before="160"/>
      </w:pPr>
      <w:r>
        <w:rPr>
          <w:rFonts w:ascii="Arial" w:cs="Arial" w:eastAsia="Arial" w:hAnsi="Arial"/>
          <w:b/>
          <w:bCs/>
          <w:color w:val="1F4E79"/>
          <w:sz w:val="20"/>
          <w:szCs w:val="20"/>
        </w:rPr>
        <w:t xml:space="preserve">Concern 3 — Large Absolute Errors</w:t>
      </w:r>
    </w:p>
    <w:p>
      <w:pPr>
        <w:pBdr>
          <w:left w:val="single" w:color="2E75B6" w:sz="16" w:space="8"/>
        </w:pBdr>
        <w:spacing w:after="100" w:before="80"/>
        <w:ind w:left="720"/>
      </w:pPr>
      <w:r>
        <w:rPr>
          <w:rFonts w:ascii="Arial" w:cs="Arial" w:eastAsia="Arial" w:hAnsi="Arial"/>
          <w:i/>
          <w:iCs/>
          <w:color w:val="444444"/>
          <w:sz w:val="19"/>
          <w:szCs w:val="19"/>
        </w:rPr>
        <w:t xml:space="preserve">The absolute tracking errors appear quite large relative to the reference trajectory amplitude, which raises questions about controller tuning, metric definition, and practical tracking quality. Please explain clearly how each error metric is computed and why the absolute values are so high.</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This is a legitimate concern that we address through two additions to the revised manuscript.</w:t>
      </w:r>
    </w:p>
    <w:p>
      <w:pPr>
        <w:spacing w:after="120" w:before="0"/>
        <w:jc w:val="both"/>
      </w:pPr>
      <w:r>
        <w:rPr>
          <w:rFonts w:ascii="Arial" w:cs="Arial" w:eastAsia="Arial" w:hAnsi="Arial"/>
          <w:b/>
          <w:bCs/>
          <w:sz w:val="20"/>
          <w:szCs w:val="20"/>
        </w:rPr>
        <w:t xml:space="preserve">Why errors are large:</w:t>
      </w:r>
    </w:p>
    <w:p>
      <w:pPr>
        <w:spacing w:after="120" w:before="0"/>
        <w:jc w:val="both"/>
      </w:pPr>
      <w:r>
        <w:rPr>
          <w:rFonts w:ascii="Arial" w:cs="Arial" w:eastAsia="Arial" w:hAnsi="Arial"/>
          <w:sz w:val="20"/>
          <w:szCs w:val="20"/>
        </w:rPr>
        <w:t xml:space="preserve">The primary source of large absolute errors is the initial condition mismatch: the robot begins each episode at rest (q = [0, 0] rad, q̇ = 0) while the sinusoidal reference trajectory starts at q₁,d(0) = 0 and immediately ramps upward. The joint angular velocities implied by the reference (up to Aω = 0.5 × π ≈ 1.57 rad/s) cannot be matched instantaneously, producing a large initial error. This is a known artefact of evaluating trajectory-tracking controllers without trajectory initialisation.</w:t>
      </w:r>
    </w:p>
    <w:p>
      <w:pPr>
        <w:spacing w:after="120" w:before="0"/>
        <w:jc w:val="both"/>
      </w:pPr>
      <w:r>
        <w:rPr>
          <w:rFonts w:ascii="Arial" w:cs="Arial" w:eastAsia="Arial" w:hAnsi="Arial"/>
          <w:sz w:val="20"/>
          <w:szCs w:val="20"/>
        </w:rPr>
        <w:t xml:space="preserve">A secondary factor is the model mismatch between the analytical Lagrangian dynamics (which assume rigid-body, frictionless kinematics beyond the Stribeck model) and CoppeliaSim's physics engine, which includes joint damping, contact dynamics, and numerical integration artefacts. This is explicitly acknowledged in Section V-D.</w:t>
      </w:r>
    </w:p>
    <w:p>
      <w:pPr>
        <w:spacing w:after="120" w:before="0"/>
        <w:jc w:val="both"/>
      </w:pPr>
      <w:r>
        <w:rPr>
          <w:rFonts w:ascii="Arial" w:cs="Arial" w:eastAsia="Arial" w:hAnsi="Arial"/>
          <w:b/>
          <w:bCs/>
          <w:sz w:val="20"/>
          <w:szCs w:val="20"/>
        </w:rPr>
        <w:t xml:space="preserve">Metric definitions added:</w:t>
      </w:r>
    </w:p>
    <w:p>
      <w:pPr>
        <w:spacing w:after="120" w:before="0"/>
        <w:jc w:val="both"/>
      </w:pPr>
      <w:r>
        <w:rPr>
          <w:rFonts w:ascii="Arial" w:cs="Arial" w:eastAsia="Arial" w:hAnsi="Arial"/>
          <w:sz w:val="20"/>
          <w:szCs w:val="20"/>
        </w:rPr>
        <w:t xml:space="preserve">We have added a "Performance Metrics" paragraph immediately before Table VI in the revised manuscript, defining RMS error, mean absolute error, and steady-state error, along with the time window used for each. We have also added the Steady-State Error column to Table VI, which shows errors of 1.84 rad (CTC+SAC) against a reference amplitude of 0.5 rad — indicating that approximately 3.7× amplitude residual exists in steady state, which we acknowledge as an area for improvement in future work.</w:t>
      </w:r>
    </w:p>
    <w:p>
      <w:pPr>
        <w:spacing w:after="80"/>
      </w:pPr>
    </w:p>
    <w:p>
      <w:pPr>
        <w:spacing w:after="60" w:before="160"/>
      </w:pPr>
      <w:r>
        <w:rPr>
          <w:rFonts w:ascii="Arial" w:cs="Arial" w:eastAsia="Arial" w:hAnsi="Arial"/>
          <w:b/>
          <w:bCs/>
          <w:color w:val="1F4E79"/>
          <w:sz w:val="20"/>
          <w:szCs w:val="20"/>
        </w:rPr>
        <w:t xml:space="preserve">Concern 4 — Conclusions Should Be Toned Down</w:t>
      </w:r>
    </w:p>
    <w:p>
      <w:pPr>
        <w:pBdr>
          <w:left w:val="single" w:color="2E75B6" w:sz="16" w:space="8"/>
        </w:pBdr>
        <w:spacing w:after="100" w:before="80"/>
        <w:ind w:left="720"/>
      </w:pPr>
      <w:r>
        <w:rPr>
          <w:rFonts w:ascii="Arial" w:cs="Arial" w:eastAsia="Arial" w:hAnsi="Arial"/>
          <w:i/>
          <w:iCs/>
          <w:color w:val="444444"/>
          <w:sz w:val="19"/>
          <w:szCs w:val="19"/>
        </w:rPr>
        <w:t xml:space="preserve">The work is simulation-only on a 2-DOF manipulator. The conclusions should be toned down to reflect this.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agree fully. The revised Conclusions section has been rewritten to remove overreaching claims. Key changes:</w:t>
      </w:r>
    </w:p>
    <w:p>
      <w:pPr>
        <w:pStyle w:val="ListParagraph"/>
        <w:numPr>
          <w:ilvl w:val="0"/>
          <w:numId w:val="2"/>
        </w:numPr>
        <w:spacing w:after="80"/>
      </w:pPr>
      <w:r>
        <w:rPr>
          <w:rFonts w:ascii="Arial" w:cs="Arial" w:eastAsia="Arial" w:hAnsi="Arial"/>
          <w:sz w:val="20"/>
          <w:szCs w:val="20"/>
        </w:rPr>
        <w:t xml:space="preserve">Removed all unqualified claims of superior performance; replaced with qualified statements ("in simulation", "for the tested trajectory", "on the 2-DOF Mico platform").</w:t>
      </w:r>
    </w:p>
    <w:p>
      <w:pPr>
        <w:pStyle w:val="ListParagraph"/>
        <w:numPr>
          <w:ilvl w:val="0"/>
          <w:numId w:val="2"/>
        </w:numPr>
        <w:spacing w:after="80"/>
      </w:pPr>
      <w:r>
        <w:rPr>
          <w:rFonts w:ascii="Arial" w:cs="Arial" w:eastAsia="Arial" w:hAnsi="Arial"/>
          <w:sz w:val="20"/>
          <w:szCs w:val="20"/>
        </w:rPr>
        <w:t xml:space="preserve">The closing statement now reads: "The proposed CTC+SAC framework demonstrates, in a CoppeliaSim simulation of a 2-DOF planar manipulator, that combining analytical Lagrangian dynamics with residual SAC learning can substantially reduce mean tracking error compared to CTC-only and RL-only baselines. These simulation results are encouraging, but real-robot validation and higher-DOF evaluation are required before broader conclusions can be drawn."</w:t>
      </w:r>
    </w:p>
    <w:p>
      <w:pPr>
        <w:pStyle w:val="ListParagraph"/>
        <w:numPr>
          <w:ilvl w:val="0"/>
          <w:numId w:val="2"/>
        </w:numPr>
        <w:spacing w:after="80"/>
      </w:pPr>
      <w:r>
        <w:rPr>
          <w:rFonts w:ascii="Arial" w:cs="Arial" w:eastAsia="Arial" w:hAnsi="Arial"/>
          <w:sz w:val="20"/>
          <w:szCs w:val="20"/>
        </w:rPr>
        <w:t xml:space="preserve">The Limitations subsection now explicitly leads with the most important caveats: simulation-only validation, 2-DOF scope, missing PID+RL baseline, and large absolute errors.</w:t>
      </w:r>
    </w:p>
    <w:p>
      <w:pPr>
        <w:spacing w:after="80"/>
      </w:pPr>
    </w:p>
    <w:p>
      <w:pPr>
        <w:spacing w:after="60" w:before="160"/>
      </w:pPr>
      <w:r>
        <w:rPr>
          <w:rFonts w:ascii="Arial" w:cs="Arial" w:eastAsia="Arial" w:hAnsi="Arial"/>
          <w:b/>
          <w:bCs/>
          <w:color w:val="1F4E79"/>
          <w:sz w:val="20"/>
          <w:szCs w:val="20"/>
        </w:rPr>
        <w:t xml:space="preserve">Concern 5 — Grammar and Writing Quality</w:t>
      </w:r>
    </w:p>
    <w:p>
      <w:pPr>
        <w:pBdr>
          <w:left w:val="single" w:color="2E75B6" w:sz="16" w:space="8"/>
        </w:pBdr>
        <w:spacing w:after="100" w:before="80"/>
        <w:ind w:left="720"/>
      </w:pPr>
      <w:r>
        <w:rPr>
          <w:rFonts w:ascii="Arial" w:cs="Arial" w:eastAsia="Arial" w:hAnsi="Arial"/>
          <w:i/>
          <w:iCs/>
          <w:color w:val="444444"/>
          <w:sz w:val="19"/>
          <w:szCs w:val="19"/>
        </w:rPr>
        <w:t xml:space="preserve">There are many grammar issues, awkward phrasings, and typographical mistakes throughout the manuscript. Several claims are repeated multiple times. Careful proofreading and tighter writing would improve readability.</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carefully proofread the entire manuscript. The following specific corrections have been made: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Location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Original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Corrected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"There analysis indicated" </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"Their analysis indicated"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II</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"systematic review of realated works"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"systematic review of related works"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"Like PID, CTC..."</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Clarified: "Unlike PID, CTC..."</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Table VI narrative (Sec. V-C)</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"best performance across all metrics"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Corrected to specify per-metric advantage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VI (Conclusions)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Multiple repeated claims about 58.6%/44.1%</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Consolidated to single clear statement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Throughout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Overlong sentences and passive constructions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Revised for concision and active voice</w:t>
            </w:r>
          </w:p>
        </w:tc>
      </w:tr>
    </w:tbl>
    <w:p>
      <w:pPr>
        <w:spacing w:after="160"/>
      </w:pPr>
    </w:p>
    <w:p>
      <w:pPr>
        <w:pBdr>
          <w:bottom w:val="single" w:color="BBBBBB" w:sz="3"/>
        </w:pBdr>
        <w:spacing w:after="100" w:before="100"/>
      </w:pPr>
    </w:p>
    <w:p>
      <w:pPr>
        <w:spacing w:after="80"/>
      </w:pPr>
    </w:p>
    <w:p>
      <w:pPr>
        <w:spacing w:after="120" w:before="0"/>
        <w:jc w:val="both"/>
      </w:pPr>
      <w:r>
        <w:rPr>
          <w:rFonts w:ascii="Arial" w:cs="Arial" w:eastAsia="Arial" w:hAnsi="Arial"/>
          <w:sz w:val="20"/>
          <w:szCs w:val="20"/>
        </w:rPr>
        <w:t xml:space="preserve">We believe the revised manuscript addresses all concerns raised by the three reviewers to the best extent possible within the revision timeline. The two areas where we acknowledge remaining gaps — the direct PID+SAC experimental comparison and real-robot validation — are now explicitly positioned as future work rather than presented as completed. We are grateful for the reviewers' constructive engagement and hope the revised version meets the standards of CoDIT 2026.</w:t>
      </w:r>
    </w:p>
    <w:p>
      <w:pPr>
        <w:spacing w:after="80"/>
      </w:pPr>
    </w:p>
    <w:p>
      <w:pPr>
        <w:spacing w:after="120" w:before="0"/>
        <w:jc w:val="both"/>
      </w:pPr>
      <w:r>
        <w:rPr>
          <w:rFonts w:ascii="Arial" w:cs="Arial" w:eastAsia="Arial" w:hAnsi="Arial"/>
          <w:sz w:val="20"/>
          <w:szCs w:val="20"/>
        </w:rPr>
        <w:t xml:space="preserve">Sincerely,</w:t>
      </w:r>
    </w:p>
    <w:p>
      <w:pPr>
        <w:spacing w:after="120" w:before="0"/>
        <w:jc w:val="both"/>
      </w:pPr>
      <w:r>
        <w:rPr>
          <w:rFonts w:ascii="Arial" w:cs="Arial" w:eastAsia="Arial" w:hAnsi="Arial"/>
          <w:sz w:val="20"/>
          <w:szCs w:val="20"/>
        </w:rPr>
        <w:t xml:space="preserve">Mona Alsbakhi, Majed Tabash, Anas Alsalool, Asma Sbaih</w:t>
      </w:r>
    </w:p>
    <w:p>
      <w:pPr>
        <w:spacing w:after="120" w:before="0"/>
        <w:jc w:val="both"/>
      </w:pPr>
      <w:r>
        <w:rPr>
          <w:rFonts w:ascii="Arial" w:cs="Arial" w:eastAsia="Arial" w:hAnsi="Arial"/>
          <w:sz w:val="20"/>
          <w:szCs w:val="20"/>
        </w:rPr>
        <w:t xml:space="preserve">Faculty of Engineering, Islamic University of Gaza / University of Seville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2026-05-25T17:11:38.377Z</dcterms:created>
  <dcterms:modified xsi:type="dcterms:W3CDTF">2026-05-25T17:11:38.377Z</dcterms:modified>
</cp:coreProperties>
</file>

<file path=docProps/custom.xml><?xml version="1.0" encoding="utf-8"?>
<Properties xmlns="http://schemas.openxmlformats.org/officeDocument/2006/custom-properties" xmlns:vt="http://schemas.openxmlformats.org/officeDocument/2006/docPropsVTypes"/>
</file>