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：2026-09-07 至 2026-09-14（每周一 09:00 计划任务生成）</w:t>
      </w:r>
    </w:p>
    <w:p>
      <w:r>
        <w:rPr>
          <w:b/>
        </w:rPr>
        <w:t xml:space="preserve">本期看点</w:t>
      </w:r>
      <w:r>
        <w:t xml:space="preserve">：6 源扫描共 </w:t>
      </w:r>
      <w:r>
        <w:rPr>
          <w:b/>
        </w:rPr>
        <w:t xml:space="preserve">3 篇</w:t>
      </w:r>
      <w:r>
        <w:t xml:space="preserve">命中生物医药/CRO 关键词（LEK 2、William Blair 1），已下载 PDF </w:t>
      </w:r>
      <w:r>
        <w:rPr>
          <w:b/>
        </w:rPr>
        <w:t xml:space="preserve">3 份</w:t>
      </w:r>
      <w:r>
        <w:t xml:space="preserve">至本地。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LEK（2 条）</w:t>
      </w:r>
    </w:p>
    <w:p>
      <w:r>
        <w:rPr>
          <w:b/>
        </w:rPr>
        <w:t xml:space="preserve">1.AI Screening for Diabetic Retinopathy: From Validated Technology to Practical Adoption</w:t>
      </w:r>
      <w:r>
        <w:t xml:space="preserve"> 2026/9/10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3">
        <w:r>
          <w:rPr>
            <w:color w:val="0563C1"/>
            <w:u w:val="single"/>
          </w:rPr>
          <w:t xml:space="preserve">ai-screening-for-diabetic-retinopathy-from-validated-technol.pdf</w:t>
        </w:r>
      </w:hyperlink>
      <w:r>
        <w:t xml:space="preserve">（0.4 MB）</w:t>
      </w:r>
    </w:p>
    <w:p>
      <w:r>
        <w:rPr>
          <w:b/>
        </w:rPr>
        <w:t xml:space="preserve">2.Compliance in Pharma: Navigating Increased Complexity and Strategic Opportunities</w:t>
      </w:r>
      <w:r>
        <w:t xml:space="preserve"> 2026/9/9 </w:t>
      </w:r>
      <w:hyperlink r:id="rId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5">
        <w:r>
          <w:rPr>
            <w:color w:val="0563C1"/>
            <w:u w:val="single"/>
          </w:rPr>
          <w:t xml:space="preserve">compliance-in-pharma-navigating-increased-complexity-and-str.pdf</w:t>
        </w:r>
      </w:hyperlink>
      <w:r>
        <w:t xml:space="preserve">（2.2 MB）</w:t>
      </w:r>
    </w:p>
    <w:p>
      <w:pPr>
        <w:pStyle w:val="Heading2"/>
      </w:pPr>
      <w:r>
        <w:t xml:space="preserve">⑤ 摩根士丹利 Morgan Stanley（0 条）</w:t>
      </w:r>
    </w:p>
    <w:p>
      <w:r>
        <w:t xml:space="preserve">本窗口无新增。</w:t>
      </w:r>
    </w:p>
    <w:p>
      <w:pPr>
        <w:pStyle w:val="Heading2"/>
      </w:pPr>
      <w:r>
        <w:t xml:space="preserve">⑥ William Blair（1 条）</w:t>
      </w:r>
    </w:p>
    <w:p>
      <w:r>
        <w:rPr>
          <w:b/>
        </w:rPr>
        <w:t xml:space="preserve">1.GLP-1s and Fitness Clubs: The Structural Case for a Larger Market</w:t>
      </w:r>
      <w:r>
        <w:t xml:space="preserve"> 2026/9/10 </w:t>
      </w:r>
      <w:hyperlink r:id="rId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7">
        <w:r>
          <w:rPr>
            <w:color w:val="0563C1"/>
            <w:u w:val="single"/>
          </w:rPr>
          <w:t xml:space="preserve">glp-1s-and-fitness-clubs-the-structural-case-for-a-larger-ma.pdf</w:t>
        </w:r>
      </w:hyperlink>
      <w:r>
        <w:t xml:space="preserve">（1.1 MB）；The rise of GLP-1 users could create a larger market for fitness clubs, especially among younger and middle-income consu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2026-09-14 09:44，由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ek.com/insights/medical-equipment/ai-screening-diabetic-retinopathy-validated-technology-practical" TargetMode="External"/><Relationship Id="rId3" Type="http://schemas.openxmlformats.org/officeDocument/2006/relationships/hyperlink" Target="https://github.com/Mona-pp/consulting-weekly-report/blob/main/pdfs/lek/ai-screening-for-diabetic-retinopathy-from-validated-technol.pdf" TargetMode="External"/><Relationship Id="rId4" Type="http://schemas.openxmlformats.org/officeDocument/2006/relationships/hyperlink" Target="https://www.lek.com/insights/pharma-services/compliance-pharma-navigating-increased-complexity-and-strategic" TargetMode="External"/><Relationship Id="rId5" Type="http://schemas.openxmlformats.org/officeDocument/2006/relationships/hyperlink" Target="https://github.com/Mona-pp/consulting-weekly-report/blob/main/pdfs/lek/compliance-in-pharma-navigating-increased-complexity-and-str.pdf" TargetMode="External"/><Relationship Id="rId6" Type="http://schemas.openxmlformats.org/officeDocument/2006/relationships/hyperlink" Target="https://www.williamblair.com/Insights/GLP1s-and-Fitness-Clubs-The-Structural-Case-for-a-Larger-Market" TargetMode="External"/><Relationship Id="rId7" Type="http://schemas.openxmlformats.org/officeDocument/2006/relationships/hyperlink" Target="https://github.com/Mona-pp/consulting-weekly-report/blob/main/pdfs/william-blair/glp-1s-and-fitness-clubs-the-structural-case-for-a-larger-ma.pdf" TargetMode="External"/></Relationships>
</file>