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2026-08-24</w:t>
      </w:r>
    </w:p>
    <w:p>
      <w:r>
        <w:rPr>
          <w:b/>
        </w:rPr>
        <w:t xml:space="preserve">监测对象</w:t>
      </w:r>
      <w:r>
        <w:t xml:space="preserve">：国际（7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：2026-08-17 至 2026-08-24（上周一至今，含首尾）；仅收录发布日期落于窗口内、且上次报告未收录过的新增动态，窗口外与历史已收录条目不重复收录。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：客户合作（2 条）与数字技术与AI（1 条）为记录最集中的两个方向；国际 7 家合计 2 条、国内 10 家合计 3 条，博济医药（2 条）记录量居首；本周窗口共收录 5 条，来自 Syneos Health、普蕊斯、博济医药、ICON。</w:t>
      </w:r>
    </w:p>
    <w:p>
      <w:pPr>
        <w:pStyle w:val="Heading2"/>
      </w:pPr>
      <w:r>
        <w:t xml:space="preserve">🤖 ① 数字技术与AI</w:t>
      </w:r>
    </w:p>
    <w:p>
      <w:r>
        <w:rPr>
          <w:b/>
        </w:rPr>
        <w:t xml:space="preserve">主线：</w:t>
      </w:r>
      <w:r>
        <w:t xml:space="preserve">Syneos Health 动作最密集；共 1 条，最新动态 2026-08-18。</w:t>
      </w:r>
    </w:p>
    <w:p>
      <w:pPr>
        <w:pStyle w:val="Heading3"/>
      </w:pPr>
      <w:r>
        <w:t xml:space="preserve">1.1 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2">
        <w:r>
          <w:rPr>
            <w:color w:val="0563C1"/>
            <w:u w:val="single"/>
          </w:rPr>
          <w:t xml:space="preserve">推进AI能力建设</w:t>
        </w:r>
      </w:hyperlink>
      <w:r>
        <w:t xml:space="preserve">｜2026-08-18</w:t>
      </w:r>
    </w:p>
    <w:p>
      <w:pPr>
        <w:pStyle w:val="Heading3"/>
      </w:pPr>
      <w:r>
        <w:t xml:space="preserve">1.2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② 海外业务布局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👥 ③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💰 ④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</w:t>
      </w:r>
    </w:p>
    <w:p>
      <w:pPr>
        <w:pStyle w:val="Heading3"/>
      </w:pPr>
      <w:r>
        <w:t xml:space="preserve">4.1 国际 CRO 动态</w:t>
      </w:r>
    </w:p>
    <w:p>
      <w:pPr>
        <w:pStyle w:val="Heading3"/>
      </w:pPr>
      <w:r>
        <w:t xml:space="preserve">4.1.1 季度业绩对比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公司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最新财报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收入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增速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核心指标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备注</w:t>
            </w:r>
          </w:p>
        </w:tc>
      </w:tr>
      <w:tr>
        <w:tc>
          <w:tcPr/>
          <w:p>
            <w:r>
              <w:t xml:space="preserve">IQVIA</w:t>
            </w:r>
          </w:p>
        </w:tc>
        <w:tc>
          <w:tcPr/>
          <w:p>
            <w:hyperlink r:id="rId3">
              <w:r>
                <w:rPr>
                  <w:color w:val="0563C1"/>
                  <w:u w:val="single"/>
                </w:rPr>
                <w:t xml:space="preserve">2026 Q2（07-28 发布）</w:t>
              </w:r>
            </w:hyperlink>
          </w:p>
        </w:tc>
        <w:tc>
          <w:tcPr/>
          <w:p>
            <w:r>
              <w:t xml:space="preserve">$4,368M</w:t>
            </w:r>
          </w:p>
        </w:tc>
        <w:tc>
          <w:tcPr/>
          <w:p>
            <w:r>
              <w:t xml:space="preserve">+8.7%</w:t>
            </w:r>
          </w:p>
        </w:tc>
        <w:tc>
          <w:tcPr/>
          <w:p>
            <w:r>
              <w:t xml:space="preserve">调整后 EPS $3.15（+12.1%）；调整后 EBITDA $994M（+9.2%）</w:t>
            </w:r>
          </w:p>
        </w:tc>
        <w:tc>
          <w:tcPr/>
          <w:p>
            <w:r>
              <w:t xml:space="preserve">上调全年指引</w:t>
            </w:r>
          </w:p>
        </w:tc>
      </w:tr>
      <w:tr>
        <w:tc>
          <w:tcPr/>
          <w:p>
            <w:r>
              <w:t xml:space="preserve">ICON</w:t>
            </w:r>
          </w:p>
        </w:tc>
        <w:tc>
          <w:tcPr/>
          <w:p>
            <w:hyperlink r:id="rId4">
              <w:r>
                <w:rPr>
                  <w:color w:val="0563C1"/>
                  <w:u w:val="single"/>
                </w:rPr>
                <w:t xml:space="preserve">2026 Q2（07-28 发布）</w:t>
              </w:r>
            </w:hyperlink>
          </w:p>
        </w:tc>
        <w:tc>
          <w:tcPr/>
          <w:p>
            <w:r>
              <w:t xml:space="preserve">$2,063.5M</w:t>
            </w:r>
          </w:p>
        </w:tc>
        <w:tc>
          <w:tcPr/>
          <w:p>
            <w:r>
              <w:t xml:space="preserve">+1.2%</w:t>
            </w:r>
          </w:p>
        </w:tc>
        <w:tc>
          <w:tcPr/>
          <w:p>
            <w:r>
              <w:t xml:space="preserve">调整后 EBITDA $327.2M（利润率 15.9%）；在手订单 $23.4B</w:t>
            </w:r>
          </w:p>
        </w:tc>
        <w:tc>
          <w:tcPr/>
          <w:p>
            <w:r>
              <w:t xml:space="preserve">收入同比接近持平</w:t>
            </w:r>
          </w:p>
        </w:tc>
      </w:tr>
      <w:tr>
        <w:tc>
          <w:tcPr/>
          <w:p>
            <w:r>
              <w:t xml:space="preserve">Medpace</w:t>
            </w:r>
          </w:p>
        </w:tc>
        <w:tc>
          <w:tcPr/>
          <w:p>
            <w:hyperlink r:id="rId5">
              <w:r>
                <w:rPr>
                  <w:color w:val="0563C1"/>
                  <w:u w:val="single"/>
                </w:rPr>
                <w:t xml:space="preserve">2026 Q2（07-22 发布）</w:t>
              </w:r>
            </w:hyperlink>
          </w:p>
        </w:tc>
        <w:tc>
          <w:tcPr/>
          <w:p>
            <w:r>
              <w:t xml:space="preserve">$707.3M</w:t>
            </w:r>
          </w:p>
        </w:tc>
        <w:tc>
          <w:tcPr/>
          <w:p>
            <w:r>
              <w:t xml:space="preserve">+17.2%</w:t>
            </w:r>
          </w:p>
        </w:tc>
        <w:tc>
          <w:tcPr/>
          <w:p>
            <w:r>
              <w:t xml:space="preserve">净利润 $121.4M；净新签 $795.7M（+28.2%），book-to-bill 1.13x，在手订单约 $3.0B</w:t>
            </w:r>
          </w:p>
        </w:tc>
        <w:tc>
          <w:tcPr/>
          <w:p>
            <w:r>
              <w:t xml:space="preserve">上调全年收入指引至 $2,805M–2,885M</w:t>
            </w:r>
          </w:p>
        </w:tc>
      </w:tr>
      <w:tr>
        <w:tc>
          <w:tcPr/>
          <w:p>
            <w:r>
              <w:t xml:space="preserve">Fortrea</w:t>
            </w:r>
          </w:p>
        </w:tc>
        <w:tc>
          <w:tcPr/>
          <w:p>
            <w:hyperlink r:id="rId6">
              <w:r>
                <w:rPr>
                  <w:color w:val="0563C1"/>
                  <w:u w:val="single"/>
                </w:rPr>
                <w:t xml:space="preserve">2026 Q2（07-29 发布）</w:t>
              </w:r>
            </w:hyperlink>
          </w:p>
        </w:tc>
        <w:tc>
          <w:tcPr/>
          <w:p>
            <w:r>
              <w:t xml:space="preserve">$678.2M</w:t>
            </w:r>
          </w:p>
        </w:tc>
        <w:tc>
          <w:tcPr/>
          <w:p>
            <w:r>
              <w:t xml:space="preserve">-4.5%</w:t>
            </w:r>
          </w:p>
        </w:tc>
        <w:tc>
          <w:tcPr/>
          <w:p>
            <w:r>
              <w:t xml:space="preserve">调整后 EBITDA $58.7M；book-to-bill 1.06x（滚动 1.12x）</w:t>
            </w:r>
          </w:p>
        </w:tc>
        <w:tc>
          <w:tcPr/>
          <w:p>
            <w:r>
              <w:t xml:space="preserve">上调全年指引：收入 $2,620M–2,690M</w:t>
            </w:r>
          </w:p>
        </w:tc>
      </w:tr>
    </w:tbl>
    <w:p/>
    <w:p>
      <w:r>
        <w:t xml:space="preserve">Parexel、PSI、Syneos Health 已私有化，不再公开季度财务数据。</w:t>
      </w:r>
    </w:p>
    <w:p>
      <w:r>
        <w:t xml:space="preserve">*数据来源：各公司 IR 站 / SEC 文件公开披露；检索截至 2026-08-19；金额单位为美元（B = 十亿，M = 百万），口径以各公司披露原文为准。*</w:t>
      </w:r>
    </w:p>
    <w:p>
      <w:r>
        <w:rPr>
          <w:b/>
        </w:rPr>
        <w:t xml:space="preserve">IQVIA 财报附件直链</w:t>
      </w:r>
      <w:r>
        <w:t xml:space="preserve">（最近 16 份）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日期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文件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类别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7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8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9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10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10-Q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11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12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13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14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10-Q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5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6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7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8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10-K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8">
              <w:r>
                <w:rPr>
                  <w:color w:val="0563C1"/>
                  <w:u w:val="single"/>
                </w:rPr>
                <w:t xml:space="preserve">Annual Report 2024</w:t>
              </w:r>
            </w:hyperlink>
          </w:p>
        </w:tc>
        <w:tc>
          <w:tcPr/>
          <w:p>
            <w:r>
              <w:t xml:space="preserve">年报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19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20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21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（另有 87 份较早文件未列出）</w:t>
            </w:r>
          </w:p>
        </w:tc>
        <w:tc>
          <w:tcPr/>
          <w:p/>
        </w:tc>
        <w:tc>
          <w:tcPr/>
          <w:p/>
        </w:tc>
      </w:tr>
    </w:tbl>
    <w:p/>
    <w:p>
      <w:pPr>
        <w:pStyle w:val="Heading3"/>
      </w:pPr>
      <w:r>
        <w:t xml:space="preserve">4.1.2 行业趋势观察</w:t>
      </w:r>
    </w:p>
    <w:p>
      <w:r>
        <w:t xml:space="preserve">四家上市 CRO 二季度业绩明显分化：Medpace 收入同比 +17.2%、净新签订单 +28.2%，增速领跑；IQVIA +8.7%，利润率同步改善；Fortrea -4.5%（过路人成本与 FSP 重定价拖累），但 book-to-bill 回升至 1.12x 并上调全年展望；ICON 仅 +1.2%，增长接近停滞。中型专注型 CRO 弹性高于头部全服务企业；IQVIA、Medpace、Fortrea 均上调全年指引，订单转化节奏是共性关注点。Parexel、PSI、Syneos 已私有化，无公开可比数据。</w:t>
      </w:r>
    </w:p>
    <w:p>
      <w:pPr>
        <w:pStyle w:val="Heading3"/>
      </w:pPr>
      <w:r>
        <w:t xml:space="preserve">4.1.3 资产整合与市场融资</w:t>
      </w:r>
    </w:p>
    <w:p>
      <w:r>
        <w:rPr>
          <w:b/>
        </w:rPr>
        <w:t xml:space="preserve">收购 / 并购 / 资产出售</w:t>
      </w:r>
    </w:p>
    <w:p>
      <w:r>
        <w:t xml:space="preserve">本周暂无相关动态。</w:t>
      </w:r>
    </w:p>
    <w:p>
      <w:r>
        <w:rPr>
          <w:b/>
        </w:rPr>
        <w:t xml:space="preserve">产能建设 / 资本开支</w:t>
      </w:r>
    </w:p>
    <w:p>
      <w:r>
        <w:t xml:space="preserve">本周暂无相关动态。</w:t>
      </w:r>
    </w:p>
    <w:p>
      <w:r>
        <w:rPr>
          <w:b/>
        </w:rPr>
        <w:t xml:space="preserve">股份回购 / 票据发行 / 股息派发</w:t>
      </w:r>
    </w:p>
    <w:p>
      <w:r>
        <w:t xml:space="preserve">本周暂无相关动态。</w:t>
      </w:r>
    </w:p>
    <w:p>
      <w:pPr>
        <w:pStyle w:val="Heading3"/>
      </w:pPr>
      <w:r>
        <w:t xml:space="preserve">4.2 国内 CRO 动态</w:t>
      </w:r>
    </w:p>
    <w:p>
      <w:r>
        <w:rPr>
          <w:b/>
        </w:rPr>
        <w:t xml:space="preserve">其他财务动态</w:t>
      </w:r>
      <w:r>
        <w:t xml:space="preserve">（业绩新闻稿 / 半年报 / 公告等）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22">
        <w:r>
          <w:rPr>
            <w:color w:val="0563C1"/>
            <w:u w:val="single"/>
          </w:rPr>
          <w:t xml:space="preserve">公司股东减持股份预披露</w:t>
        </w:r>
      </w:hyperlink>
      <w:r>
        <w:t xml:space="preserve">｜2026-08-24</w:t>
      </w:r>
    </w:p>
    <w:p>
      <w:pPr>
        <w:pStyle w:val="Heading2"/>
      </w:pPr>
      <w:r>
        <w:t xml:space="preserve">🤝 ⑤ 客户合作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以“助力获批”项目合作为主；共 2 条，最新动态 2026-08-19。</w:t>
      </w:r>
    </w:p>
    <w:p>
      <w:pPr>
        <w:pStyle w:val="Heading3"/>
      </w:pPr>
      <w:r>
        <w:t xml:space="preserve">5.1 国际 CRO 动态</w:t>
      </w:r>
    </w:p>
    <w:p>
      <w:r>
        <w:t xml:space="preserve">本周暂无国际相关动态。</w:t>
      </w:r>
    </w:p>
    <w:p>
      <w:pPr>
        <w:pStyle w:val="Heading3"/>
      </w:pPr>
      <w:r>
        <w:t xml:space="preserve">5.2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3">
        <w:r>
          <w:rPr>
            <w:color w:val="0563C1"/>
            <w:u w:val="single"/>
          </w:rPr>
          <w:t xml:space="preserve">助力客户连斩新药批件</w:t>
        </w:r>
      </w:hyperlink>
      <w:r>
        <w:t xml:space="preserve">｜2026-08-19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4">
        <w:r>
          <w:rPr>
            <w:color w:val="0563C1"/>
            <w:u w:val="single"/>
          </w:rPr>
          <w:t xml:space="preserve">助力关键性Ⅲ期临床研究</w:t>
        </w:r>
      </w:hyperlink>
      <w:r>
        <w:t xml:space="preserve">｜2026-08-17</w:t>
      </w:r>
    </w:p>
    <w:p>
      <w:pPr>
        <w:pStyle w:val="Heading2"/>
      </w:pPr>
      <w:r>
        <w:t xml:space="preserve">📌 ⑥ 其他动态</w:t>
      </w:r>
    </w:p>
    <w:p>
      <w:r>
        <w:rPr>
          <w:b/>
        </w:rPr>
        <w:t xml:space="preserve">主线：</w:t>
      </w:r>
      <w:r>
        <w:t xml:space="preserve">ICON 动作最密集；共 1 条，最新动态 2026-08-20。</w:t>
      </w:r>
    </w:p>
    <w:p>
      <w:pPr>
        <w:pStyle w:val="Heading3"/>
      </w:pPr>
      <w:r>
        <w:t xml:space="preserve">6.1 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25">
        <w:r>
          <w:rPr>
            <w:color w:val="0563C1"/>
            <w:u w:val="single"/>
          </w:rPr>
          <w:t xml:space="preserve">发布社会责任报告</w:t>
        </w:r>
      </w:hyperlink>
      <w:r>
        <w:t xml:space="preserve">｜2026-08-20</w:t>
      </w:r>
    </w:p>
    <w:p>
      <w:pPr>
        <w:pStyle w:val="Heading3"/>
      </w:pPr>
      <w:r>
        <w:t xml:space="preserve">6.2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客户合作、数字技术与AI两类合计 3 条，约占全部记录的 60%，为记录最集中的方向。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国际 7 家合计 2 条、国内 10 家合计 3 条；博济医药（2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本周窗口（2026-08-17 至 2026-08-24）共收录 5 条（来自 Syneos Health、普蕊斯、博济医药、ICON）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2026-08-31（周一）09:30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国际快照：2026-08-24T09:35:54（Top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生成日期：2026-08-24；由两份快照离线合并生成（不联网）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归类说明：六类按标题关键词优先级匹配（①→⑤，未命中归入⑥）；各模块条目设带章节号的小标题「N.1 国际 CRO 动态」「N.2 国内 CRO 动态」（N 为模块序号，国际在前，主线概述为整体研判不分国内外）；条目为公司+概述+日期格式，概述统一为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3" Type="http://schemas.openxmlformats.org/officeDocument/2006/relationships/hyperlink" Target="https://ir.iqvia.com/press-releases/press-release-details/2026/IQVIA-Reports-Second-Quarter-2026-Results/default.aspx" TargetMode="External"/><Relationship Id="rId4" Type="http://schemas.openxmlformats.org/officeDocument/2006/relationships/hyperlink" Target="https://www.iconplc.com/news-events/press-releases/icon-reports-second-quarter-2026-results-0" TargetMode="External"/><Relationship Id="rId5" Type="http://schemas.openxmlformats.org/officeDocument/2006/relationships/hyperlink" Target="https://investor.medpace.com/news-releases/news-release-details/medpace-holdings-inc-reports-second-quarter-2026-results" TargetMode="External"/><Relationship Id="rId6" Type="http://schemas.openxmlformats.org/officeDocument/2006/relationships/hyperlink" Target="https://ir.fortrea.com/news-releases/news-release-details/fortrea-reports-second-quarter-2026-results" TargetMode="External"/><Relationship Id="rId7" Type="http://schemas.openxmlformats.org/officeDocument/2006/relationships/hyperlink" Target="https://s201.q4cdn.com/580005511/files/doc_financials/2025/q2/IQVIA-Q2-2025-Earnings-Press-Release-_-Final.pdf" TargetMode="External"/><Relationship Id="rId8" Type="http://schemas.openxmlformats.org/officeDocument/2006/relationships/hyperlink" Target="https://s201.q4cdn.com/580005511/files/doc_financials/2025/q2/IQVIA-Q2-2025-Earnings-Call-Presentation-_-Final-Posting.pdf" TargetMode="External"/><Relationship Id="rId9" Type="http://schemas.openxmlformats.org/officeDocument/2006/relationships/hyperlink" Target="https://events.q4inc.com/attendee/696782677" TargetMode="External"/><Relationship Id="rId10" Type="http://schemas.openxmlformats.org/officeDocument/2006/relationships/hyperlink" Target="https://s201.q4cdn.com/580005511/files/doc_financials/2025/q2/IQV-2025-06-30-10Q-Filed-with-exhibits.pdf" TargetMode="External"/><Relationship Id="rId11" Type="http://schemas.openxmlformats.org/officeDocument/2006/relationships/hyperlink" Target="https://s201.q4cdn.com/580005511/files/doc_financials/2025/q1/IQVIA-Q1-2025-Earnings-Press-Release-_-Final.pdf" TargetMode="External"/><Relationship Id="rId12" Type="http://schemas.openxmlformats.org/officeDocument/2006/relationships/hyperlink" Target="https://s201.q4cdn.com/580005511/files/doc_financials/2025/q1/IQVIA-Q1-2025-Earnings-Call-Presentation-_-Final.pdf" TargetMode="External"/><Relationship Id="rId13" Type="http://schemas.openxmlformats.org/officeDocument/2006/relationships/hyperlink" Target="https://events.q4inc.com/attendee/283172177" TargetMode="External"/><Relationship Id="rId14" Type="http://schemas.openxmlformats.org/officeDocument/2006/relationships/hyperlink" Target="https://s201.q4cdn.com/580005511/files/doc_financials/2025/q1/IQV-2025-03-31-10Q_Filed-with-exhibits.pdf" TargetMode="External"/><Relationship Id="rId15" Type="http://schemas.openxmlformats.org/officeDocument/2006/relationships/hyperlink" Target="https://s201.q4cdn.com/580005511/files/doc_financials/2024/q4/IQVIA-Q4-2024-Earnings-Press-Release-_-Final.pdf" TargetMode="External"/><Relationship Id="rId16" Type="http://schemas.openxmlformats.org/officeDocument/2006/relationships/hyperlink" Target="https://s201.q4cdn.com/580005511/files/doc_financials/2024/q4/IQVIA-2024-Earnings-Call-Presentation-_-Final.pdf" TargetMode="External"/><Relationship Id="rId17" Type="http://schemas.openxmlformats.org/officeDocument/2006/relationships/hyperlink" Target="https://events.q4inc.com/attendee/451703795" TargetMode="External"/><Relationship Id="rId18" Type="http://schemas.openxmlformats.org/officeDocument/2006/relationships/hyperlink" Target="https://s201.q4cdn.com/580005511/files/doc_financials/2024/q4/IQV-2024-12-31-10K_Filed-with-exhibits.pdf" TargetMode="External"/><Relationship Id="rId19" Type="http://schemas.openxmlformats.org/officeDocument/2006/relationships/hyperlink" Target="https://s201.q4cdn.com/580005511/files/doc_financials/2024/q3/IQVIA-Q3-2024-Earnings-Press-Release-_-Final.pdf" TargetMode="External"/><Relationship Id="rId20" Type="http://schemas.openxmlformats.org/officeDocument/2006/relationships/hyperlink" Target="https://s201.q4cdn.com/580005511/files/doc_financials/2024/q3/IQVIA-Q3-2024-Earnings-Call-Presentation-_-Final.pdf" TargetMode="External"/><Relationship Id="rId21" Type="http://schemas.openxmlformats.org/officeDocument/2006/relationships/hyperlink" Target="https://events.q4inc.com/attendee/730389564" TargetMode="External"/><Relationship Id="rId22" Type="http://schemas.openxmlformats.org/officeDocument/2006/relationships/hyperlink" Target="http://static.cninfo.com.cn/finalpage/2026-08-24/1225491492.PDF" TargetMode="External"/><Relationship Id="rId23" Type="http://schemas.openxmlformats.org/officeDocument/2006/relationships/hyperlink" Target="https://www.gzboji.com/news/index.html#boji-733" TargetMode="External"/><Relationship Id="rId24" Type="http://schemas.openxmlformats.org/officeDocument/2006/relationships/hyperlink" Target="https://www.gzboji.com/news/index.html#boji-732" TargetMode="External"/><Relationship Id="rId25" Type="http://schemas.openxmlformats.org/officeDocument/2006/relationships/hyperlink" Target="https://www.iconplc.com/news-events/press-releases/icon-releases-2025-icon-cares-report" TargetMode="External"/></Relationships>
</file>