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Top 17 CRO 行业动态主题周报 —— 2026-08-20</w:t>
      </w:r>
    </w:p>
    <w:p>
      <w:r>
        <w:rPr>
          <w:b/>
        </w:rPr>
        <w:t xml:space="preserve">监测对象</w:t>
      </w:r>
      <w:r>
        <w:t xml:space="preserve">：海外（7 家）——IQVIA、ICON、Fortrea、Medpace、Parexel、PSI、Syneos Health；国内（10 家）——康龙化成、药明康德、普蕊斯、斯丹姆、博济医药、诺思格、昆翎、海金格、缔脉（康缔亚）、思睦瑞科</w:t>
      </w:r>
    </w:p>
    <w:p>
      <w:r>
        <w:rPr>
          <w:b/>
        </w:rPr>
        <w:t xml:space="preserve">数据窗口</w:t>
      </w:r>
      <w:r>
        <w:t xml:space="preserve">：2026-08-14 至 2026-08-20（上周一至今，含首尾）；仅收录发布日期落于窗口内、且上次报告未收录过的新增动态，窗口外与历史已收录条目不重复收录。</w:t>
      </w:r>
    </w:p>
    <w:p>
      <w:r>
        <w:rPr>
          <w:b/>
        </w:rPr>
        <w:t xml:space="preserve">本期看点</w:t>
      </w:r>
      <w:r>
        <w:t xml:space="preserve">：①战略合作：国内外合作路径分化——博济医药 以“助力获批”项目合作为主；③数字技术与AI：AI 从单点试点走向平台化与生态绑定——Syneos Health 推进AI能力建设；⑤资产整合与市场融资：资产整合与融资活动并行——诺思格 提前终止回购公司股份方案暨回购实施结果；⑦其他动态：产品获批与品牌活动交织——ICON 发布社会责任报告；博济医药 股票交易异常波动公告</w:t>
      </w:r>
    </w:p>
    <w:p>
      <w:pPr>
        <w:pStyle w:val="Heading2"/>
      </w:pPr>
      <w:r>
        <w:t xml:space="preserve">🤝 ① 战略合作</w:t>
      </w:r>
    </w:p>
    <w:p>
      <w:r>
        <w:rPr>
          <w:b/>
        </w:rPr>
        <w:t xml:space="preserve">主线：</w:t>
      </w:r>
      <w:r>
        <w:t xml:space="preserve">国内外合作路径分化——博济医药 以“助力获批”项目合作为主</w:t>
      </w:r>
    </w:p>
    <w:p>
      <w:pPr>
        <w:pStyle w:val="Heading3"/>
      </w:pPr>
      <w:r>
        <w:t xml:space="preserve">1.1 海外 CRO</w:t>
      </w:r>
    </w:p>
    <w:p>
      <w:r>
        <w:t xml:space="preserve">本周暂无海外相关动态。</w:t>
      </w:r>
    </w:p>
    <w:p>
      <w:pPr>
        <w:pStyle w:val="Heading3"/>
      </w:pPr>
      <w:r>
        <w:t xml:space="preserve">1.2 国内 CRO</w:t>
      </w:r>
    </w:p>
    <w:p>
      <w:r>
        <w:rPr>
          <w:b/>
        </w:rPr>
        <w:t xml:space="preserve">1.14天拿下3项NDA！博济医药助力客户连斩新药批件，彰显临研硬核实力</w:t>
      </w:r>
      <w:r>
        <w:t xml:space="preserve"> 2026/8/19 </w:t>
      </w:r>
      <w:hyperlink r:id="rId2">
        <w:r>
          <w:rPr>
            <w:color w:val="0563C1"/>
            <w:u w:val="single"/>
          </w:rPr>
          <w:t xml:space="preserve">浏览详情</w:t>
        </w:r>
      </w:hyperlink>
    </w:p>
    <w:p>
      <w:r>
        <w:t xml:space="preserve">博济医药14天内助力客户获得3项新药批件，展现临床研究实力；此举强化其在医药外包领域的竞争力。</w:t>
      </w:r>
    </w:p>
    <w:p>
      <w:r>
        <w:rPr>
          <w:b/>
        </w:rPr>
        <w:t xml:space="preserve">2.喜报！首个儿童便秘中成药获批上市！博济医药助力关键性Ⅲ期临床研究！</w:t>
      </w:r>
      <w:r>
        <w:t xml:space="preserve"> 2026/8/17 </w:t>
      </w:r>
      <w:hyperlink r:id="rId3">
        <w:r>
          <w:rPr>
            <w:color w:val="0563C1"/>
            <w:u w:val="single"/>
          </w:rPr>
          <w:t xml:space="preserve">浏览详情</w:t>
        </w:r>
      </w:hyperlink>
    </w:p>
    <w:p>
      <w:r>
        <w:t xml:space="preserve">首个儿童便秘中成药获批上市，博济医药助力关键性Ⅲ期临床研究；彰显博济医药在儿童用药领域的研发实力。</w:t>
      </w:r>
    </w:p>
    <w:p>
      <w:pPr>
        <w:pStyle w:val="Heading2"/>
      </w:pPr>
      <w:r>
        <w:t xml:space="preserve">💰 ② 资本与财务动态</w:t>
      </w:r>
    </w:p>
    <w:p>
      <w:r>
        <w:rPr>
          <w:b/>
        </w:rPr>
        <w:t xml:space="preserve">主线：</w:t>
      </w:r>
      <w:r>
        <w:t xml:space="preserve">本周暂无相关动态</w:t>
      </w:r>
    </w:p>
    <w:p>
      <w:r>
        <w:t xml:space="preserve">本周暂无相关动态。</w:t>
      </w:r>
    </w:p>
    <w:p>
      <w:pPr>
        <w:pStyle w:val="Heading2"/>
      </w:pPr>
      <w:r>
        <w:t xml:space="preserve">🤖 ③ 数字技术与AI</w:t>
      </w:r>
    </w:p>
    <w:p>
      <w:r>
        <w:rPr>
          <w:b/>
        </w:rPr>
        <w:t xml:space="preserve">主线：</w:t>
      </w:r>
      <w:r>
        <w:t xml:space="preserve">AI 从单点试点走向平台化与生态绑定——Syneos Health 推进AI能力建设</w:t>
      </w:r>
    </w:p>
    <w:p>
      <w:pPr>
        <w:pStyle w:val="Heading3"/>
      </w:pPr>
      <w:r>
        <w:t xml:space="preserve">3.1 海外 CRO</w:t>
      </w:r>
    </w:p>
    <w:p>
      <w:r>
        <w:rPr>
          <w:b/>
        </w:rPr>
        <w:t xml:space="preserve">1.Syneos Health：推进AI能力建设</w:t>
      </w:r>
      <w:r>
        <w:t xml:space="preserve"> 2026/8/18 </w:t>
      </w:r>
      <w:hyperlink r:id="rId4">
        <w:r>
          <w:rPr>
            <w:color w:val="0563C1"/>
            <w:u w:val="single"/>
          </w:rPr>
          <w:t xml:space="preserve">浏览详情</w:t>
        </w:r>
      </w:hyperlink>
    </w:p>
    <w:p>
      <w:r>
        <w:t xml:space="preserve">Syneos Health推出AI驱动的临床试验生态系统，旨在优化试验表现并加速决策过程。此举将提升临床试验效率，推动医药行业创新。</w:t>
      </w:r>
    </w:p>
    <w:p>
      <w:pPr>
        <w:pStyle w:val="Heading3"/>
      </w:pPr>
      <w:r>
        <w:t xml:space="preserve">3.2 国内 CRO</w:t>
      </w:r>
    </w:p>
    <w:p>
      <w:r>
        <w:t xml:space="preserve">本周暂无国内相关动态。</w:t>
      </w:r>
    </w:p>
    <w:p>
      <w:pPr>
        <w:pStyle w:val="Heading2"/>
      </w:pPr>
      <w:r>
        <w:t xml:space="preserve">🌍 ④ 业务发展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🏗 ⑤ 资产整合与市场融资</w:t>
      </w:r>
    </w:p>
    <w:p>
      <w:r>
        <w:rPr>
          <w:b/>
        </w:rPr>
        <w:t xml:space="preserve">主线：</w:t>
      </w:r>
      <w:r>
        <w:t xml:space="preserve">资产整合与融资活动并行——诺思格 提前终止回购公司股份方案暨回购实施结果</w:t>
      </w:r>
    </w:p>
    <w:p>
      <w:pPr>
        <w:pStyle w:val="Heading3"/>
      </w:pPr>
      <w:r>
        <w:t xml:space="preserve">5.1 海外 CRO</w:t>
      </w:r>
    </w:p>
    <w:p>
      <w:r>
        <w:t xml:space="preserve">本周暂无海外相关动态。</w:t>
      </w:r>
    </w:p>
    <w:p>
      <w:pPr>
        <w:pStyle w:val="Heading3"/>
      </w:pPr>
      <w:r>
        <w:t xml:space="preserve">5.2 国内 CRO</w:t>
      </w:r>
    </w:p>
    <w:p>
      <w:r>
        <w:rPr>
          <w:b/>
        </w:rPr>
        <w:t xml:space="preserve">收购 / 并购 / 资产出售</w:t>
      </w:r>
    </w:p>
    <w:p>
      <w:r>
        <w:t xml:space="preserve">本周暂无相关动态。</w:t>
      </w:r>
    </w:p>
    <w:p>
      <w:r>
        <w:rPr>
          <w:b/>
        </w:rPr>
        <w:t xml:space="preserve">产能建设 / 资本开支</w:t>
      </w:r>
    </w:p>
    <w:p>
      <w:r>
        <w:t xml:space="preserve">本周暂无相关动态。</w:t>
      </w:r>
    </w:p>
    <w:p>
      <w:r>
        <w:rPr>
          <w:b/>
        </w:rPr>
        <w:t xml:space="preserve">市场融资 / 增资入股</w:t>
      </w:r>
    </w:p>
    <w:p>
      <w:r>
        <w:t xml:space="preserve">本周暂无相关动态。</w:t>
      </w:r>
    </w:p>
    <w:p>
      <w:r>
        <w:rPr>
          <w:b/>
        </w:rPr>
        <w:t xml:space="preserve">股份回购 / 票据发行 / 股息派发</w:t>
      </w:r>
    </w:p>
    <w:p>
      <w:r>
        <w:rPr>
          <w:b/>
        </w:rPr>
        <w:t xml:space="preserve">1.诺思格：关于提前终止回购公司股份方案暨回购实施结果的公告</w:t>
      </w:r>
      <w:r>
        <w:t xml:space="preserve"> 2026/8/14 </w:t>
      </w:r>
      <w:hyperlink r:id="rId5">
        <w:r>
          <w:rPr>
            <w:color w:val="0563C1"/>
            <w:u w:val="single"/>
          </w:rPr>
          <w:t xml:space="preserve">浏览详情</w:t>
        </w:r>
      </w:hyperlink>
    </w:p>
    <w:p>
      <w:r>
        <w:t xml:space="preserve">提前终止回购公司股份方案暨回购实施结果</w:t>
      </w:r>
    </w:p>
    <w:p>
      <w:pPr>
        <w:pStyle w:val="Heading2"/>
      </w:pPr>
      <w:r>
        <w:t xml:space="preserve">👥 ⑥ 核心团队调整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📌 ⑦ 其他动态</w:t>
      </w:r>
    </w:p>
    <w:p>
      <w:r>
        <w:rPr>
          <w:b/>
        </w:rPr>
        <w:t xml:space="preserve">主线：</w:t>
      </w:r>
      <w:r>
        <w:t xml:space="preserve">产品获批与品牌活动交织——ICON 发布社会责任报告；博济医药 股票交易异常波动公告</w:t>
      </w:r>
    </w:p>
    <w:p>
      <w:pPr>
        <w:pStyle w:val="Heading3"/>
      </w:pPr>
      <w:r>
        <w:t xml:space="preserve">7.1 海外 CRO</w:t>
      </w:r>
    </w:p>
    <w:p>
      <w:r>
        <w:rPr>
          <w:b/>
        </w:rPr>
        <w:t xml:space="preserve">1.ICON：发布社会责任报告</w:t>
      </w:r>
      <w:r>
        <w:t xml:space="preserve"> 2026/8/20 </w:t>
      </w:r>
      <w:hyperlink r:id="rId6">
        <w:r>
          <w:rPr>
            <w:color w:val="0563C1"/>
            <w:u w:val="single"/>
          </w:rPr>
          <w:t xml:space="preserve">浏览详情</w:t>
        </w:r>
      </w:hyperlink>
    </w:p>
    <w:p>
      <w:r>
        <w:t xml:space="preserve">ICON发布2025年社会责任报告，涵盖全球多个行业，助力药物研发效率提升。报告强调患者影响、创新与可持续性，推动行业进步。</w:t>
      </w:r>
    </w:p>
    <w:p>
      <w:pPr>
        <w:pStyle w:val="Heading3"/>
      </w:pPr>
      <w:r>
        <w:t xml:space="preserve">7.2 国内 CRO</w:t>
      </w:r>
    </w:p>
    <w:p>
      <w:r>
        <w:rPr>
          <w:b/>
        </w:rPr>
        <w:t xml:space="preserve">2.博济医药：股票交易异常波动公告</w:t>
      </w:r>
      <w:r>
        <w:t xml:space="preserve"> 2026/8/14 </w:t>
      </w:r>
      <w:hyperlink r:id="rId7">
        <w:r>
          <w:rPr>
            <w:color w:val="0563C1"/>
            <w:u w:val="single"/>
          </w:rPr>
          <w:t xml:space="preserve">浏览详情</w:t>
        </w:r>
      </w:hyperlink>
    </w:p>
    <w:p>
      <w:r>
        <w:t xml:space="preserve">股票交易异常波动公告</w:t>
      </w:r>
    </w:p>
    <w:p>
      <w:r>
        <w:rPr>
          <w:b/>
        </w:rPr>
        <w:t xml:space="preserve">编者观察</w:t>
      </w:r>
    </w:p>
    <w:p>
      <w:pPr>
        <w:ind w:left="360"/>
      </w:pPr>
      <w:r>
        <w:t xml:space="preserve">1. </w:t>
      </w:r>
      <w:r>
        <w:rPr>
          <w:b/>
        </w:rPr>
        <w:t xml:space="preserve">主题集中：</w:t>
      </w:r>
      <w:r>
        <w:t xml:space="preserve">战略合作、数字技术与AI两类合计 3 条，约占全部记录的 50%，为记录最集中的方向。</w:t>
      </w:r>
    </w:p>
    <w:p>
      <w:pPr>
        <w:ind w:left="360"/>
      </w:pPr>
      <w:r>
        <w:t xml:space="preserve">2. </w:t>
      </w:r>
      <w:r>
        <w:rPr>
          <w:b/>
        </w:rPr>
        <w:t xml:space="preserve">主体格局：</w:t>
      </w:r>
      <w:r>
        <w:t xml:space="preserve">海外 7 家合计 2 条、国内 10 家合计 4 条；博济医药（3 条）记录量居首。</w:t>
      </w:r>
    </w:p>
    <w:p>
      <w:pPr>
        <w:ind w:left="360"/>
      </w:pPr>
      <w:r>
        <w:t xml:space="preserve">3. </w:t>
      </w:r>
      <w:r>
        <w:rPr>
          <w:b/>
        </w:rPr>
        <w:t xml:space="preserve">时间结构：</w:t>
      </w:r>
      <w:r>
        <w:t xml:space="preserve">本周窗口（2026-08-14 至 2026-08-20）共收录 6 条（来自 博济医药、Syneos Health、诺思格、ICON）</w:t>
      </w:r>
    </w:p>
    <w:p>
      <w:pPr>
        <w:ind w:left="360"/>
      </w:pPr>
      <w:r>
        <w:t xml:space="preserve">4. </w:t>
      </w:r>
      <w:r>
        <w:rPr>
          <w:b/>
        </w:rPr>
        <w:t xml:space="preserve">值得关注的下个节点：</w:t>
      </w:r>
      <w:r>
        <w:t xml:space="preserve">快照内无已排期的未来投资者活动；下期周报 2026-08-24（周一）09:30 自动生成。</w:t>
      </w:r>
    </w:p>
    <w:p>
      <w:r>
        <w:rPr>
          <w:b/>
        </w:rPr>
        <w:t xml:space="preserve">数据来源与生成日期</w:t>
      </w:r>
    </w:p>
    <w:p>
      <w:pPr>
        <w:ind w:left="360" w:hanging="360"/>
      </w:pPr>
      <w:r>
        <w:t xml:space="preserve">• </w:t>
      </w:r>
      <w:r>
        <w:t xml:space="preserve">数据来源：各公司官网新闻栏目与投资者关系栏目、医药魔方 ByDrug 标签页（两套监控自动采集）</w:t>
      </w:r>
    </w:p>
    <w:p>
      <w:pPr>
        <w:ind w:left="360" w:hanging="360"/>
      </w:pPr>
      <w:r>
        <w:t xml:space="preserve">• </w:t>
      </w:r>
      <w:r>
        <w:t xml:space="preserve">海外快照：2026-08-24T09:35:54（Top 7 CRO Weekly Monitor）｜国内快照：2026-08-24T09:37:50（CN CRO Weekly Monitor）</w:t>
      </w:r>
    </w:p>
    <w:p>
      <w:pPr>
        <w:ind w:left="360" w:hanging="360"/>
      </w:pPr>
      <w:r>
        <w:t xml:space="preserve">• </w:t>
      </w:r>
      <w:r>
        <w:t xml:space="preserve">生成日期：2026-08-20；由两份快照离线合并生成，条目两句话总结由智谱 GLM 读取新闻原文自动生成（英文新闻已译为中文，未成功条目回退标题概述）</w:t>
      </w:r>
    </w:p>
    <w:p>
      <w:pPr>
        <w:ind w:left="360" w:hanging="360"/>
      </w:pPr>
      <w:r>
        <w:t xml:space="preserve">• </w:t>
      </w:r>
      <w:r>
        <w:t xml:space="preserve">范围说明：仅收录发布日期落于本周窗口（上周一至今，含首尾）内、且上次报告未收录过的新增动态，窗口外与历史已收录条目不重复收录（数据采集仅每周一执行，窗口前移一天以覆盖上周一发布、本周才抓到的条目，靠跨报告 URL 比对去重）；康龙化成、药明康德业务线较宽（实验室服务/CDMO/安评/大分子等），本报告仅收录其</w:t>
      </w:r>
      <w:r>
        <w:rPr>
          <w:b/>
        </w:rPr>
        <w:t xml:space="preserve">临床 CRO 服务</w:t>
      </w:r>
      <w:r>
        <w:t xml:space="preserve">相关动态（按标题关键词过滤，快照数据仍全量采集）；</w:t>
      </w:r>
    </w:p>
    <w:p>
      <w:pPr>
        <w:ind w:left="360" w:hanging="360"/>
      </w:pPr>
      <w:r>
        <w:t xml:space="preserve">• </w:t>
      </w:r>
      <w:r>
        <w:t xml:space="preserve">归类说明：七类按关键词优先级匹配（判序：数字技术与AI→业务发展→核心团队调整→资产整合与市场融资→资本与财务动态→战略合作，未命中归其他动态；展示顺序：战略合作→资本与财务动态→数字技术与AI→业务发展→核心团队调整→其他动态→资产整合与市场融资）；各模块条目设带章节号的小标题「N.1 海外 CRO 动态」「N.2 国内 CRO 动态」（N 为模块序号，海外在前，主线概述为整体研判不分国内外）；条目为公司+概述+日期格式，概述统一为 ≤20 字中文（中文标题子句提取压缩、英文标题规则式生成），点击概述文字跳转原文地址</w:t>
      </w:r>
    </w:p>
    <w:p>
      <w:pPr>
        <w:ind w:left="360" w:hanging="360"/>
      </w:pPr>
      <w:r>
        <w:t xml:space="preserve">• </w:t>
      </w:r>
      <w:r>
        <w:t xml:space="preserve">财报说明：④「季度业绩对比」与「行业趋势观察」数据取自仓库 quarterly-fin.json（人工检索各公司 IR 站 / SEC 披露后维护，检索截至日期见表格脚注）；「资产整合与市场融资」按标题关键词分收购并购 / 产能资本开支 / 回购票据股息三组，其余归「其他财务动态」</w:t>
      </w:r>
    </w:p>
    <w:sectPr>
      <w:pgSz w:w="11906" w:h="16838"/>
      <w:pgMar w:top="1440" w:right="1440" w:bottom="1440" w:left="1440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outlineLvl w:val="0"/>
    </w:pPr>
    <w:rPr>
      <w:b/>
      <w:color w:val="1F3864"/>
      <w:sz w:val="36"/>
      <w:szCs w:val="36"/>
    </w:rPr>
  </w:style>
  <w:style w:type="paragraph" w:styleId="Heading2">
    <w:name w:val="heading 2"/>
    <w:basedOn w:val="Normal"/>
    <w:next w:val="Normal"/>
    <w:pPr>
      <w:keepNext/>
      <w:outlineLvl w:val="1"/>
    </w:pPr>
    <w:rPr>
      <w:b/>
      <w:color w:val="2E5496"/>
      <w:sz w:val="28"/>
      <w:szCs w:val="28"/>
    </w:rPr>
  </w:style>
  <w:style w:type="paragraph" w:styleId="Heading3">
    <w:name w:val="heading 3"/>
    <w:basedOn w:val="Normal"/>
    <w:next w:val="Normal"/>
    <w:pPr>
      <w:keepNext/>
      <w:outlineLvl w:val="2"/>
    </w:pPr>
    <w:rPr>
      <w:b/>
      <w:color w:val="2E5496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zboji.com/news/index.html#boji-733" TargetMode="External"/><Relationship Id="rId3" Type="http://schemas.openxmlformats.org/officeDocument/2006/relationships/hyperlink" Target="https://www.gzboji.com/news/index.html#boji-732" TargetMode="External"/><Relationship Id="rId4" Type="http://schemas.openxmlformats.org/officeDocument/2006/relationships/hyperlink" Target="https://www.syneoshealth.com/news/Syneos-Health-Advances-AI-Powered-Clinical-Ecosystem-to-Optimize-Trial-Performance-and-Speed-Decision-Making" TargetMode="External"/><Relationship Id="rId5" Type="http://schemas.openxmlformats.org/officeDocument/2006/relationships/hyperlink" Target="http://static.cninfo.com.cn/finalpage/2026-08-14/1225472349.PDF" TargetMode="External"/><Relationship Id="rId6" Type="http://schemas.openxmlformats.org/officeDocument/2006/relationships/hyperlink" Target="https://www.iconplc.com/news-events/press-releases/icon-releases-2025-icon-cares-report" TargetMode="External"/><Relationship Id="rId7" Type="http://schemas.openxmlformats.org/officeDocument/2006/relationships/hyperlink" Target="http://static.cninfo.com.cn/finalpage/2026-08-14/1225474550.PDF" TargetMode="External"/></Relationships>
</file>