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：①战略合作：国内外合作路径分化——博济医药 以“助力获批”项目合作为主；②资本与财务动态：国内：康龙化成 2026年半年度报告；普蕊斯 公司股东减持股份预披露；③数字技术与AI：AI 从单点试点走向平台化与生态绑定——Syneos Health 推进AI能力建设；⑦其他动态：产品获批与品牌活动交织——ICON 发布社会责任报告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</w:t>
      </w:r>
    </w:p>
    <w:p>
      <w:r>
        <w:rPr>
          <w:b/>
        </w:rPr>
        <w:t xml:space="preserve">1.14天拿下3项NDA！博济医药助力客户连斩新药批件，彰显临研硬核实力</w:t>
      </w:r>
      <w:r>
        <w:t xml:space="preserve"> 2026/8/19 </w:t>
      </w:r>
      <w:hyperlink r:id="rId2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博济医药14天内助力客户获得3项新药批件，展现临床研究实力；此举强化其在医药外包领域的竞争力。</w:t>
      </w:r>
    </w:p>
    <w:p>
      <w:r>
        <w:rPr>
          <w:b/>
        </w:rPr>
        <w:t xml:space="preserve">2.喜报！首个儿童便秘中成药获批上市！博济医药助力关键性Ⅲ期临床研究！</w:t>
      </w:r>
      <w:r>
        <w:t xml:space="preserve"> 2026/8/17 </w:t>
      </w:r>
      <w:hyperlink r:id="rId3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首个儿童便秘中成药获批上市，博济医药助力关键性Ⅲ期临床研究；彰显博济医药在儿童用药领域的研发实力。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国内：康龙化成 2026年半年度报告；普蕊斯 公司股东减持股份预披露</w:t>
      </w:r>
    </w:p>
    <w:p>
      <w:pPr>
        <w:pStyle w:val="Heading3"/>
      </w:pPr>
      <w:r>
        <w:t xml:space="preserve">2.1 海外 CRO</w:t>
      </w:r>
    </w:p>
    <w:p>
      <w:r>
        <w:t xml:space="preserve">本周暂无海外相关动态。</w:t>
      </w:r>
    </w:p>
    <w:p>
      <w:pPr>
        <w:pStyle w:val="Heading3"/>
      </w:pPr>
      <w:r>
        <w:t xml:space="preserve">2.2 国内 CRO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r>
        <w:rPr>
          <w:b/>
        </w:rPr>
        <w:t xml:space="preserve">1.康龙化成：2026年半年度报告</w:t>
      </w:r>
      <w:r>
        <w:t xml:space="preserve"> 2026/8/21 </w:t>
      </w:r>
      <w:hyperlink r:id="rId4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2026年半年度报告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营收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同比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利润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新订单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Book-to-Bill</w:t>
            </w:r>
          </w:p>
        </w:tc>
      </w:tr>
      <w:tr>
        <w:tc>
          <w:tcPr/>
          <w:p>
            <w:r>
              <w:t xml:space="preserve">康龙化成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H1</w:t>
              </w:r>
            </w:hyperlink>
          </w:p>
        </w:tc>
        <w:tc>
          <w:tcPr/>
          <w:p>
            <w:r>
              <w:t xml:space="preserve">75.95亿元</w:t>
            </w:r>
          </w:p>
        </w:tc>
        <w:tc>
          <w:tcPr/>
          <w:p>
            <w:r>
              <w:t xml:space="preserve">+17.92%</w:t>
            </w:r>
          </w:p>
        </w:tc>
        <w:tc>
          <w:tcPr/>
          <w:p>
            <w:r>
              <w:t xml:space="preserve">归母净利 7.50亿元（+6.96%）</w:t>
            </w:r>
          </w:p>
        </w:tc>
        <w:tc>
          <w:tcPr/>
          <w:p>
            <w:r>
              <w:t xml:space="preserve">同比 +30%+（金额未披露）</w:t>
            </w:r>
          </w:p>
        </w:tc>
        <w:tc>
          <w:tcPr/>
          <w:p>
            <w:r>
              <w:t xml:space="preserve">未披露</w:t>
            </w:r>
          </w:p>
        </w:tc>
      </w:tr>
    </w:tbl>
    <w:p/>
    <w:p>
      <w:r>
        <w:t xml:space="preserve">*康龙化成：全年收入指引 +15%~20%；实验室服务新签 +20%+、小分子 CDMO 新签 +50%+*</w:t>
      </w:r>
    </w:p>
    <w:p>
      <w:r>
        <w:t xml:space="preserve">*数据来源：公司定期报告/公告公开披露（金额为人民币）；口径以公司披露原文为准。*</w:t>
      </w:r>
    </w:p>
    <w:p>
      <w:r>
        <w:rPr>
          <w:b/>
        </w:rPr>
        <w:t xml:space="preserve">2.普蕊斯：关于公司股东减持股份预披露公告</w:t>
      </w:r>
      <w:r>
        <w:t xml:space="preserve"> 2026/8/24 </w:t>
      </w:r>
      <w:hyperlink r:id="rId5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公司股东减持股份预披露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</w:t>
      </w:r>
    </w:p>
    <w:p>
      <w:r>
        <w:rPr>
          <w:b/>
        </w:rPr>
        <w:t xml:space="preserve">1.Syneos Health：推进AI能力建设</w:t>
      </w:r>
      <w:r>
        <w:t xml:space="preserve"> 2026/8/18 </w:t>
      </w:r>
      <w:hyperlink r:id="rId6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Syneos Health推出AI驱动的临床试验生态系统，旨在优化试验表现并加速决策过程。此举将提升临床试验效率，推动医药行业创新。</w:t>
      </w:r>
    </w:p>
    <w:p>
      <w:pPr>
        <w:pStyle w:val="Heading3"/>
      </w:pPr>
      <w:r>
        <w:t xml:space="preserve">3.2 国内 CRO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</w:t>
      </w:r>
    </w:p>
    <w:p>
      <w:r>
        <w:rPr>
          <w:b/>
        </w:rPr>
        <w:t xml:space="preserve">1.ICON：发布社会责任报告</w:t>
      </w:r>
      <w:r>
        <w:t xml:space="preserve"> 2026/8/20 </w:t>
      </w:r>
      <w:hyperlink r:id="rId7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ICON发布2025年社会责任报告，涵盖全球多个行业，助力药物研发效率提升。报告强调患者影响、创新与可持续性，推动行业进步。</w:t>
      </w:r>
    </w:p>
    <w:p>
      <w:pPr>
        <w:pStyle w:val="Heading3"/>
      </w:pPr>
      <w:r>
        <w:t xml:space="preserve">7.2 国内 CRO</w:t>
      </w:r>
    </w:p>
    <w:p>
      <w:r>
        <w:t xml:space="preserve">本周暂无国内相关动态。</w:t>
      </w:r>
    </w:p>
    <w:p>
      <w:r>
        <w:rPr>
          <w:b/>
        </w:rP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r>
        <w:rPr>
          <w:b/>
        </w:rP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生成日期：2026-08-24；由两份快照离线合并生成，条目两句话总结由智谱 GLM 读取新闻原文自动生成（英文新闻已译为中文，未成功条目回退标题概述）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