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条）与资本与财务动态（1 条）为记录最集中的两个方向；海外 7 家合计 2 条、国内 10 家合计 3 条，博济医药（2 条）记录量居首；本周窗口共收录 5 条，来自 博济医药、普蕊斯、Syneos Health、ICON。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以“助力获批”项目合作为主；共 2 条，最新动态 2026-08-19。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</w:t>
      </w:r>
    </w:p>
    <w:p>
      <w:pPr>
        <w:pStyle w:val="Heading3"/>
      </w:pPr>
      <w:r>
        <w:t xml:space="preserve">2.1 海外 CRO 动态</w:t>
      </w:r>
    </w:p>
    <w:p>
      <w:pPr>
        <w:pStyle w:val="Heading3"/>
      </w:pPr>
      <w:r>
        <w:t xml:space="preserve">2.1.1 季度业绩对比</w:t>
      </w:r>
    </w:p>
    <w:p>
      <w:r>
        <w:rPr>
          <w:b/>
        </w:rPr>
        <w:t xml:space="preserve">季度业绩对比总结</w:t>
      </w:r>
      <w:r>
        <w:t xml:space="preserve">：海外 4 家上市 CRO 最新季报收入增速 -4.5% ~ +17.2%，Medpace 领跑、Fortrea 暂居末位；Parexel、PSI、Syneos Health 已私有化，不再公开季度财务数据；国内最近业绩披露：康龙化成《2026年半年度报告》（08-21）、普蕊斯《一图读懂| 普蕊斯2025年年度》（04-29）、药明康德《药明康德中期业绩：上半年收入18》（08-02）。</w:t>
      </w:r>
    </w:p>
    <w:p>
      <w:r>
        <w:t xml:space="preserve">*本周窗口内无海外新发布财报，季度数据较上期无变化，明细对比表与附件直链本期略去（有新增时自动恢复展示）。*</w:t>
      </w:r>
    </w:p>
    <w:p>
      <w:pPr>
        <w:pStyle w:val="Heading3"/>
      </w:pPr>
      <w:r>
        <w:t xml:space="preserve">2.1.2 行业趋势观察</w:t>
      </w:r>
    </w:p>
    <w:p>
      <w:r>
        <w:t xml:space="preserve">四家上市 CRO 二季度业绩明显分化：Medpace 收入同比 +17.2%、净新签订单 +28.2%，增速领跑；IQVIA +8.7%，利润率同步改善；Fortrea -4.5%（过路人成本与 FSP 重定价拖累），但 book-to-bill 回升至 1.12x 并上调全年展望；ICON 仅 +1.2%，增长接近停滞。中型专注型 CRO 弹性高于头部全服务企业；IQVIA、Medpace、Fortrea 均上调全年指引，订单转化节奏是共性关注点。Parexel、PSI、Syneos 已私有化，无公开可比数据。</w:t>
      </w:r>
    </w:p>
    <w:p>
      <w:pPr>
        <w:pStyle w:val="Heading3"/>
      </w:pPr>
      <w:r>
        <w:t xml:space="preserve">2.2 国内 CRO 动态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4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5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Syneos Health 动作最密集；共 1 条，最新动态 2026-08-18。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ICON 动作最密集；共 1 条，最新动态 2026-08-20。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