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：国际（7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：客户合作（2 条）与数字技术与AI（1 条）为记录最集中的两个方向；国际 7 家合计 2 条、国内 10 家合计 3 条，博济医药（2 条）记录量居首；本周窗口共收录 5 条，来自 Syneos Health、普蕊斯、博济医药、ICON。</w:t>
      </w:r>
    </w:p>
    <w:p>
      <w:pPr>
        <w:pStyle w:val="Heading2"/>
      </w:pPr>
      <w:r>
        <w:t xml:space="preserve">🤖 ① 数字技术与AI</w:t>
      </w:r>
    </w:p>
    <w:p>
      <w:r>
        <w:rPr>
          <w:b/>
        </w:rPr>
        <w:t xml:space="preserve">主线：</w:t>
      </w:r>
      <w:r>
        <w:t xml:space="preserve">Syneos Health 动作最密集；共 1 条，最新动态 2026-08-18。</w:t>
      </w:r>
    </w:p>
    <w:p>
      <w:pPr>
        <w:pStyle w:val="Heading3"/>
      </w:pPr>
      <w:r>
        <w:t xml:space="preserve">1.1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2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1.2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② 海外业务布局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③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💰 ④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4.1 国际 CRO 动态</w:t>
      </w:r>
    </w:p>
    <w:p>
      <w:pPr>
        <w:pStyle w:val="Heading3"/>
      </w:pPr>
      <w:r>
        <w:t xml:space="preserve">4.1.1 季度业绩对比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3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收入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增速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核心指标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IQVIA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$4,368M</w:t>
            </w:r>
          </w:p>
        </w:tc>
        <w:tc>
          <w:tcPr/>
          <w:p>
            <w:r>
              <w:t xml:space="preserve">+8.7%</w:t>
            </w:r>
          </w:p>
        </w:tc>
        <w:tc>
          <w:tcPr/>
          <w:p>
            <w:r>
              <w:t xml:space="preserve">调整后 EPS $3.15（+12.1%）；调整后 EBITDA $994M（+9.2%）</w:t>
            </w:r>
          </w:p>
        </w:tc>
        <w:tc>
          <w:tcPr/>
          <w:p>
            <w:r>
              <w:t xml:space="preserve">上调全年指引</w:t>
            </w:r>
          </w:p>
        </w:tc>
      </w:tr>
      <w:tr>
        <w:tc>
          <w:tcPr/>
          <w:p>
            <w:r>
              <w:t xml:space="preserve">ICON</w:t>
            </w:r>
          </w:p>
        </w:tc>
        <w:tc>
          <w:tcPr/>
          <w:p>
            <w:hyperlink r:id="rId5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$2,063.5M</w:t>
            </w:r>
          </w:p>
        </w:tc>
        <w:tc>
          <w:tcPr/>
          <w:p>
            <w:r>
              <w:t xml:space="preserve">+1.2%</w:t>
            </w:r>
          </w:p>
        </w:tc>
        <w:tc>
          <w:tcPr/>
          <w:p>
            <w:r>
              <w:t xml:space="preserve">调整后 EBITDA $327.2M（利润率 15.9%）；在手订单 $23.4B</w:t>
            </w:r>
          </w:p>
        </w:tc>
        <w:tc>
          <w:tcPr/>
          <w:p>
            <w:r>
              <w:t xml:space="preserve">收入同比接近持平</w:t>
            </w:r>
          </w:p>
        </w:tc>
      </w:tr>
      <w:tr>
        <w:tc>
          <w:tcPr/>
          <w:p>
            <w:r>
              <w:t xml:space="preserve">Medpace</w:t>
            </w:r>
          </w:p>
        </w:tc>
        <w:tc>
          <w:tcPr/>
          <w:p>
            <w:hyperlink r:id="rId6">
              <w:r>
                <w:rPr>
                  <w:color w:val="0563C1"/>
                  <w:u w:val="single"/>
                </w:rPr>
                <w:t xml:space="preserve">2026 Q2（07-22 发布）</w:t>
              </w:r>
            </w:hyperlink>
          </w:p>
        </w:tc>
        <w:tc>
          <w:tcPr/>
          <w:p>
            <w:r>
              <w:t xml:space="preserve">$707.3M</w:t>
            </w:r>
          </w:p>
        </w:tc>
        <w:tc>
          <w:tcPr/>
          <w:p>
            <w:r>
              <w:t xml:space="preserve">+17.2%</w:t>
            </w:r>
          </w:p>
        </w:tc>
        <w:tc>
          <w:tcPr/>
          <w:p>
            <w:r>
              <w:t xml:space="preserve">净利润 $121.4M；净新签 $795.7M（+28.2%），book-to-bill 1.13x，在手订单约 $3.0B</w:t>
            </w:r>
          </w:p>
        </w:tc>
        <w:tc>
          <w:tcPr/>
          <w:p>
            <w:r>
              <w:t xml:space="preserve">上调全年收入指引至 $2,805M–2,885M</w:t>
            </w:r>
          </w:p>
        </w:tc>
      </w:tr>
      <w:tr>
        <w:tc>
          <w:tcPr/>
          <w:p>
            <w:r>
              <w:t xml:space="preserve">Fortrea</w:t>
            </w:r>
          </w:p>
        </w:tc>
        <w:tc>
          <w:tcPr/>
          <w:p>
            <w:hyperlink r:id="rId7">
              <w:r>
                <w:rPr>
                  <w:color w:val="0563C1"/>
                  <w:u w:val="single"/>
                </w:rPr>
                <w:t xml:space="preserve">2026 Q2（07-29 发布）</w:t>
              </w:r>
            </w:hyperlink>
          </w:p>
        </w:tc>
        <w:tc>
          <w:tcPr/>
          <w:p>
            <w:r>
              <w:t xml:space="preserve">$678.2M</w:t>
            </w:r>
          </w:p>
        </w:tc>
        <w:tc>
          <w:tcPr/>
          <w:p>
            <w:r>
              <w:t xml:space="preserve">-4.5%</w:t>
            </w:r>
          </w:p>
        </w:tc>
        <w:tc>
          <w:tcPr/>
          <w:p>
            <w:r>
              <w:t xml:space="preserve">调整后 EBITDA $58.7M；book-to-bill 1.06x（滚动 1.12x）</w:t>
            </w:r>
          </w:p>
        </w:tc>
        <w:tc>
          <w:tcPr/>
          <w:p>
            <w:r>
              <w:t xml:space="preserve">上调全年指引：收入 $2,620M–2,690M</w:t>
            </w:r>
          </w:p>
        </w:tc>
      </w:tr>
    </w:tbl>
    <w:p/>
    <w:p>
      <w:r>
        <w:t xml:space="preserve">Parexel、PSI、Syneos Health 已私有化，不再公开季度财务数据。</w:t>
      </w:r>
    </w:p>
    <w:p>
      <w:r>
        <w:t xml:space="preserve">*数据来源：各公司 IR 站 / SEC 文件公开披露；检索截至 2026-08-19；金额单位为美元（B = 十亿，M = 百万），口径以各公司披露原文为准。*</w:t>
      </w:r>
    </w:p>
    <w:p>
      <w:r>
        <w:t xml:space="preserve">*注：康龙化成 本周新发布财报，数据待人工检索更新 quarterly-fin.json 后入表。*</w:t>
      </w:r>
    </w:p>
    <w:p>
      <w:r>
        <w:rPr>
          <w:b/>
        </w:rPr>
        <w:t xml:space="preserve">IQVIA 财报附件直链</w:t>
      </w:r>
      <w:r>
        <w:t xml:space="preserve">（最近 16 份）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类别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8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9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10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11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2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3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4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15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6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7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8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9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10-K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19">
              <w:r>
                <w:rPr>
                  <w:color w:val="0563C1"/>
                  <w:u w:val="single"/>
                </w:rPr>
                <w:t xml:space="preserve">Annual Report 2024</w:t>
              </w:r>
            </w:hyperlink>
          </w:p>
        </w:tc>
        <w:tc>
          <w:tcPr/>
          <w:p>
            <w:r>
              <w:t xml:space="preserve">年报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20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21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22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（另有 87 份较早文件未列出）</w:t>
            </w:r>
          </w:p>
        </w:tc>
        <w:tc>
          <w:tcPr/>
          <w:p/>
        </w:tc>
        <w:tc>
          <w:tcPr/>
          <w:p/>
        </w:tc>
      </w:tr>
    </w:tbl>
    <w:p/>
    <w:p>
      <w:pPr>
        <w:pStyle w:val="Heading3"/>
      </w:pPr>
      <w:r>
        <w:t xml:space="preserve">4.1.2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4.1.3 资产整合与市场融资</w:t>
      </w:r>
    </w:p>
    <w:p>
      <w:r>
        <w:rPr>
          <w:b/>
        </w:rPr>
        <w:t xml:space="preserve">收购 / 并购 / 资产出售</w:t>
      </w:r>
    </w:p>
    <w:p>
      <w:r>
        <w:t xml:space="preserve">本周暂无相关动态。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r>
        <w:t xml:space="preserve">本周暂无相关动态。</w:t>
      </w:r>
    </w:p>
    <w:p>
      <w:pPr>
        <w:pStyle w:val="Heading3"/>
      </w:pPr>
      <w:r>
        <w:t xml:space="preserve">4.2 国内 CRO 动态</w:t>
      </w:r>
    </w:p>
    <w:p>
      <w:r>
        <w:rPr>
          <w:b/>
        </w:rPr>
        <w:t xml:space="preserve">其他财务动态</w:t>
      </w:r>
      <w:r>
        <w:t xml:space="preserve">（业绩新闻稿 / 半年报 / 公告等）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23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🤝 ⑤ 客户合作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以“助力获批”项目合作为主；共 2 条，最新动态 2026-08-19。</w:t>
      </w:r>
    </w:p>
    <w:p>
      <w:pPr>
        <w:pStyle w:val="Heading3"/>
      </w:pPr>
      <w:r>
        <w:t xml:space="preserve">5.1 国际 CRO 动态</w:t>
      </w:r>
    </w:p>
    <w:p>
      <w:r>
        <w:t xml:space="preserve">本周暂无国际相关动态。</w:t>
      </w:r>
    </w:p>
    <w:p>
      <w:pPr>
        <w:pStyle w:val="Heading3"/>
      </w:pPr>
      <w:r>
        <w:t xml:space="preserve">5.2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4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5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📌 ⑥ 其他动态</w:t>
      </w:r>
    </w:p>
    <w:p>
      <w:r>
        <w:rPr>
          <w:b/>
        </w:rPr>
        <w:t xml:space="preserve">主线：</w:t>
      </w:r>
      <w:r>
        <w:t xml:space="preserve">ICON 动作最密集；共 1 条，最新动态 2026-08-20。</w:t>
      </w:r>
    </w:p>
    <w:p>
      <w:pPr>
        <w:pStyle w:val="Heading3"/>
      </w:pPr>
      <w:r>
        <w:t xml:space="preserve">6.1 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26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6.2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客户合作、数字技术与AI两类合计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国际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Syneos Health、普蕊斯、博济医药、ICON）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国际快照：2026-08-24T09:35:54（Top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归类说明：六类按标题关键词优先级匹配（①→⑤，未命中归入⑥）；各模块条目设带章节号的小标题「N.1 国际 CRO 动态」「N.2 国内 CRO 动态」（N 为模块序号，国际在前，主线概述为整体研判不分国内外）；条目为公司+概述+日期格式，概述统一为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3" Type="http://schemas.openxmlformats.org/officeDocument/2006/relationships/hyperlink" Target="http://static.cninfo.com.cn/finalpage/2026-08-21/1225487380.PDF" TargetMode="External"/><Relationship Id="rId4" Type="http://schemas.openxmlformats.org/officeDocument/2006/relationships/hyperlink" Target="https://ir.iqvia.com/press-releases/press-release-details/2026/IQVIA-Reports-Second-Quarter-2026-Results/default.aspx" TargetMode="External"/><Relationship Id="rId5" Type="http://schemas.openxmlformats.org/officeDocument/2006/relationships/hyperlink" Target="https://www.iconplc.com/news-events/press-releases/icon-reports-second-quarter-2026-results-0" TargetMode="External"/><Relationship Id="rId6" Type="http://schemas.openxmlformats.org/officeDocument/2006/relationships/hyperlink" Target="https://investor.medpace.com/news-releases/news-release-details/medpace-holdings-inc-reports-second-quarter-2026-results" TargetMode="External"/><Relationship Id="rId7" Type="http://schemas.openxmlformats.org/officeDocument/2006/relationships/hyperlink" Target="https://ir.fortrea.com/news-releases/news-release-details/fortrea-reports-second-quarter-2026-results" TargetMode="External"/><Relationship Id="rId8" Type="http://schemas.openxmlformats.org/officeDocument/2006/relationships/hyperlink" Target="https://s201.q4cdn.com/580005511/files/doc_financials/2025/q2/IQVIA-Q2-2025-Earnings-Press-Release-_-Final.pdf" TargetMode="External"/><Relationship Id="rId9" Type="http://schemas.openxmlformats.org/officeDocument/2006/relationships/hyperlink" Target="https://s201.q4cdn.com/580005511/files/doc_financials/2025/q2/IQVIA-Q2-2025-Earnings-Call-Presentation-_-Final-Posting.pdf" TargetMode="External"/><Relationship Id="rId10" Type="http://schemas.openxmlformats.org/officeDocument/2006/relationships/hyperlink" Target="https://events.q4inc.com/attendee/696782677" TargetMode="External"/><Relationship Id="rId11" Type="http://schemas.openxmlformats.org/officeDocument/2006/relationships/hyperlink" Target="https://s201.q4cdn.com/580005511/files/doc_financials/2025/q2/IQV-2025-06-30-10Q-Filed-with-exhibits.pdf" TargetMode="External"/><Relationship Id="rId12" Type="http://schemas.openxmlformats.org/officeDocument/2006/relationships/hyperlink" Target="https://s201.q4cdn.com/580005511/files/doc_financials/2025/q1/IQVIA-Q1-2025-Earnings-Press-Release-_-Final.pdf" TargetMode="External"/><Relationship Id="rId13" Type="http://schemas.openxmlformats.org/officeDocument/2006/relationships/hyperlink" Target="https://s201.q4cdn.com/580005511/files/doc_financials/2025/q1/IQVIA-Q1-2025-Earnings-Call-Presentation-_-Final.pdf" TargetMode="External"/><Relationship Id="rId14" Type="http://schemas.openxmlformats.org/officeDocument/2006/relationships/hyperlink" Target="https://events.q4inc.com/attendee/283172177" TargetMode="External"/><Relationship Id="rId15" Type="http://schemas.openxmlformats.org/officeDocument/2006/relationships/hyperlink" Target="https://s201.q4cdn.com/580005511/files/doc_financials/2025/q1/IQV-2025-03-31-10Q_Filed-with-exhibits.pdf" TargetMode="External"/><Relationship Id="rId16" Type="http://schemas.openxmlformats.org/officeDocument/2006/relationships/hyperlink" Target="https://s201.q4cdn.com/580005511/files/doc_financials/2024/q4/IQVIA-Q4-2024-Earnings-Press-Release-_-Final.pdf" TargetMode="External"/><Relationship Id="rId17" Type="http://schemas.openxmlformats.org/officeDocument/2006/relationships/hyperlink" Target="https://s201.q4cdn.com/580005511/files/doc_financials/2024/q4/IQVIA-2024-Earnings-Call-Presentation-_-Final.pdf" TargetMode="External"/><Relationship Id="rId18" Type="http://schemas.openxmlformats.org/officeDocument/2006/relationships/hyperlink" Target="https://events.q4inc.com/attendee/451703795" TargetMode="External"/><Relationship Id="rId19" Type="http://schemas.openxmlformats.org/officeDocument/2006/relationships/hyperlink" Target="https://s201.q4cdn.com/580005511/files/doc_financials/2024/q4/IQV-2024-12-31-10K_Filed-with-exhibits.pdf" TargetMode="External"/><Relationship Id="rId20" Type="http://schemas.openxmlformats.org/officeDocument/2006/relationships/hyperlink" Target="https://s201.q4cdn.com/580005511/files/doc_financials/2024/q3/IQVIA-Q3-2024-Earnings-Press-Release-_-Final.pdf" TargetMode="External"/><Relationship Id="rId21" Type="http://schemas.openxmlformats.org/officeDocument/2006/relationships/hyperlink" Target="https://s201.q4cdn.com/580005511/files/doc_financials/2024/q3/IQVIA-Q3-2024-Earnings-Call-Presentation-_-Final.pdf" TargetMode="External"/><Relationship Id="rId22" Type="http://schemas.openxmlformats.org/officeDocument/2006/relationships/hyperlink" Target="https://events.q4inc.com/attendee/730389564" TargetMode="External"/><Relationship Id="rId23" Type="http://schemas.openxmlformats.org/officeDocument/2006/relationships/hyperlink" Target="http://static.cninfo.com.cn/finalpage/2026-08-24/1225491492.PDF" TargetMode="External"/><Relationship Id="rId24" Type="http://schemas.openxmlformats.org/officeDocument/2006/relationships/hyperlink" Target="https://www.gzboji.com/news/index.html#boji-733" TargetMode="External"/><Relationship Id="rId25" Type="http://schemas.openxmlformats.org/officeDocument/2006/relationships/hyperlink" Target="https://www.gzboji.com/news/index.html#boji-732" TargetMode="External"/><Relationship Id="rId26" Type="http://schemas.openxmlformats.org/officeDocument/2006/relationships/hyperlink" Target="https://www.iconplc.com/news-events/press-releases/icon-releases-2025-icon-cares-report" TargetMode="External"/></Relationships>
</file>