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行业动态主题月报 —— 2026-08（2026-08-01 至 2026-08-31）</w:t>
      </w:r>
    </w:p>
    <w:p>
      <w:r>
        <w:rPr>
          <w:b/>
        </w:rPr>
        <w:t xml:space="preserve">监测对象</w:t>
      </w:r>
      <w:r>
        <w:t xml:space="preserve">：海外（7 家）——IQVIA、ICON、Fortrea、Medpace、Parexel、PSI、Syneos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：2026-08-01 至 2026-08-31（上一自然月）；仅收录发布日期落于窗口内、且上次月报未收录过的新增动态，窗口外与历史已收录条目不重复收录。</w:t>
      </w:r>
    </w:p>
    <w:p>
      <w:r>
        <w:rPr>
          <w:b/>
        </w:rPr>
        <w:t xml:space="preserve">本期看点</w:t>
      </w:r>
      <w:r>
        <w:t xml:space="preserve">：①战略合作：国内外合作路径分化——斯丹姆、博济医药 以“助力获批”项目合作为主；博济医药 与医院/学术机构缔约；博济医药 签署战略合作协议；②资本与财务动态：海外：本月窗口内无新发布财报；对标快照——IQVIA +8.7%（2026 Q2（07-28 发布））；Fortrea -4.5%（2026 Q2（07-29 发布））；ICON +1.2%（2026 Q2（07-28 发布））；Medpace +17.2%（2026 Q2（07-22 发布））；国内：普蕊斯 2026年半年度报告；普蕊斯 2026年半年度报告摘要；③数字技术与AI：AI 从单点试点走向平台化与生态绑定——Syneos Health 推进AI能力建设；⑤资产整合与市场融资：资产整合与融资活动并行——博济医药 推进收购/资产整合；⑥核心团队调整：以核心岗位公开任免为主——博济医药 增补董事会成员；⑦其他动态：产品获批与品牌活动交织——博济医药 参加行业会议/论坛；🌐行业观察：9 条 CXO/临床相关行业动态（来源：TrialiCube、动脉网-最新）</w:t>
      </w:r>
    </w:p>
    <w:p>
      <w:pPr>
        <w:pStyle w:val="Heading2"/>
      </w:pPr>
      <w:r>
        <w:t xml:space="preserve">🤝 ① 战略合作</w:t>
      </w:r>
    </w:p>
    <w:p>
      <w:r>
        <w:rPr>
          <w:b/>
        </w:rPr>
        <w:t xml:space="preserve">主线：</w:t>
      </w:r>
      <w:r>
        <w:t xml:space="preserve">国内外合作路径分化——斯丹姆、博济医药 以“助力获批”项目合作为主；博济医药 与医院/学术机构缔约；博济医药 签署战略合作协议</w:t>
      </w:r>
    </w:p>
    <w:p>
      <w:pPr>
        <w:pStyle w:val="Heading3"/>
      </w:pPr>
      <w:r>
        <w:t xml:space="preserve">1.1 海外 CRO</w:t>
      </w:r>
    </w:p>
    <w:p>
      <w:r>
        <w:t xml:space="preserve">本月暂无海外相关动态。</w:t>
      </w:r>
    </w:p>
    <w:p>
      <w:pPr>
        <w:pStyle w:val="Heading3"/>
      </w:pPr>
      <w:r>
        <w:t xml:space="preserve">1.2 国内 CRO</w:t>
      </w:r>
    </w:p>
    <w:p>
      <w:r>
        <w:rPr>
          <w:b/>
        </w:rPr>
        <w:t xml:space="preserve">1.国内首个眶下凹陷适应症注射产品 MaiLi®Precise 获批上市 | 斯丹姆助力</w:t>
      </w:r>
      <w:r>
        <w:t xml:space="preserve"> 2026/8/26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斯丹姆助力国内首个眶下凹陷适应症注射产品MaiLi®Precise获批上市，预计将推动该领域治疗发展；MaiLi®Precise上市有望改善患者生活质量，提升斯丹姆市场竞争力。</w:t>
      </w:r>
    </w:p>
    <w:p>
      <w:r>
        <w:rPr>
          <w:b/>
        </w:rPr>
        <w:t xml:space="preserve">2.14天拿下3项NDA！博济医药助力客户连斩新药批件，彰显临研硬核实力</w:t>
      </w:r>
      <w:r>
        <w:t xml:space="preserve"> 2026/8/19 </w:t>
      </w:r>
      <w:hyperlink r:id="rId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博济医药14天内助力客户获得3项新药批件，展现临床研究实力；此举强化其在医药外包领域的竞争力。</w:t>
      </w:r>
    </w:p>
    <w:p>
      <w:r>
        <w:rPr>
          <w:b/>
        </w:rPr>
        <w:t xml:space="preserve">3.喜报！首个儿童便秘中成药获批上市！博济医药助力关键性Ⅲ期临床研究！</w:t>
      </w:r>
      <w:r>
        <w:t xml:space="preserve"> 2026/8/17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首个儿童便秘中成药获批上市，博济医药助力关键性Ⅲ期临床研究；彰显博济医药在儿童用药领域的研发实力。</w:t>
      </w:r>
    </w:p>
    <w:p>
      <w:r>
        <w:rPr>
          <w:b/>
        </w:rPr>
        <w:t xml:space="preserve">4.博济医药与长春中医药大学附属医院达成战略合作，共建中医药临床研究新平台</w:t>
      </w:r>
      <w:r>
        <w:t xml:space="preserve"> 2026/8/11 </w:t>
      </w:r>
      <w:hyperlink r:id="rId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博济医药与长春中医药大学附属医院合作，共建中医药临床研究新平台；此举将推动中医药临床研究发展。</w:t>
      </w:r>
    </w:p>
    <w:p>
      <w:r>
        <w:rPr>
          <w:b/>
        </w:rPr>
        <w:t xml:space="preserve">5.博济医药：【博济助力】1类新药富马酸卢帕替芬胶囊Ⅲ期临床试验全国研究者大会在北京顺利召开</w:t>
      </w:r>
      <w:r>
        <w:t xml:space="preserve"> 2026/8/10 </w:t>
      </w:r>
      <w:hyperlink r:id="rId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博济医药助力富马酸卢帕替芬胶囊Ⅲ期临床试验全国研究者大会召开；彰显博济医药在临床研究领域的实力，推动新药研发进程。</w:t>
      </w:r>
    </w:p>
    <w:p>
      <w:r>
        <w:rPr>
          <w:b/>
        </w:rPr>
        <w:t xml:space="preserve">6.博济医药：博济助力 | 祝贺九典制药中药1.1类创新药椒七止痛凝胶贴膏获批上市！</w:t>
      </w:r>
      <w:r>
        <w:t xml:space="preserve"> 2026/8/7 </w:t>
      </w:r>
      <w:hyperlink r:id="rId7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博济医药助力九典制药椒七止痛凝胶贴膏获批上市；彰显博济医药在中药创新药研发领域的实力。</w:t>
      </w:r>
    </w:p>
    <w:p>
      <w:r>
        <w:rPr>
          <w:b/>
        </w:rPr>
        <w:t xml:space="preserve">7.喜报！注射用奥马珠单抗（蜀阳舒乐®）获批上市！博济医药助力III期临床研究</w:t>
      </w:r>
      <w:r>
        <w:t xml:space="preserve"> 2026/8/4 </w:t>
      </w:r>
      <w:hyperlink r:id="rId8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博济医药助力注射用奥马珠单抗（蜀阳舒乐®）获批上市；彰显其在临床研究领域的实力，助力新药研发进程。</w:t>
      </w:r>
    </w:p>
    <w:p>
      <w:pPr>
        <w:pStyle w:val="Heading2"/>
      </w:pPr>
      <w:r>
        <w:t xml:space="preserve">💰 ② 资本与财务动态</w:t>
      </w:r>
    </w:p>
    <w:p>
      <w:r>
        <w:rPr>
          <w:b/>
        </w:rPr>
        <w:t xml:space="preserve">主线：</w:t>
      </w:r>
      <w:r>
        <w:t xml:space="preserve">海外：本月窗口内无新发布财报；对标快照——IQVIA +8.7%（2026 Q2（07-28 发布））；Fortrea -4.5%（2026 Q2（07-29 发布））；ICON +1.2%（2026 Q2（07-28 发布））；Medpace +17.2%（2026 Q2（07-22 发布））；国内：普蕊斯 2026年半年度报告；普蕊斯 2026年半年度报告摘要</w:t>
      </w:r>
    </w:p>
    <w:p>
      <w:pPr>
        <w:pStyle w:val="Heading3"/>
      </w:pPr>
      <w:r>
        <w:t xml:space="preserve">2.1 海外 CRO</w:t>
      </w:r>
    </w:p>
    <w:p>
      <w:r>
        <w:rPr>
          <w:b/>
        </w:rPr>
        <w:t xml:space="preserve">全球上市 CRO 最新季度业绩快照</w:t>
      </w:r>
      <w:r>
        <w:t xml:space="preserve">（不论发布月份，按营收降序）：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营收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同比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利润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新订单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Book-to-Bill</w:t>
            </w:r>
          </w:p>
        </w:tc>
      </w:tr>
      <w:tr>
        <w:tc>
          <w:tcPr/>
          <w:p>
            <w:r>
              <w:t xml:space="preserve">IQVIA</w:t>
            </w:r>
          </w:p>
        </w:tc>
        <w:tc>
          <w:tcPr/>
          <w:p>
            <w:hyperlink r:id="rId9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$4,368M</w:t>
            </w:r>
          </w:p>
        </w:tc>
        <w:tc>
          <w:tcPr/>
          <w:p>
            <w:r>
              <w:t xml:space="preserve">+8.7%</w:t>
            </w:r>
          </w:p>
        </w:tc>
        <w:tc>
          <w:tcPr/>
          <w:p>
            <w:r>
              <w:t xml:space="preserve">调整后 EPS $3.15（+12.1%）</w:t>
            </w:r>
          </w:p>
        </w:tc>
        <w:tc>
          <w:tcPr/>
          <w:p>
            <w:r>
              <w:t xml:space="preserve">净新签 $3.15B（+19.3%）</w:t>
            </w:r>
          </w:p>
        </w:tc>
        <w:tc>
          <w:tcPr/>
          <w:p>
            <w:r>
              <w:t xml:space="preserve">1.22</w:t>
            </w:r>
          </w:p>
        </w:tc>
      </w:tr>
      <w:tr>
        <w:tc>
          <w:tcPr/>
          <w:p>
            <w:r>
              <w:t xml:space="preserve">ICON</w:t>
            </w:r>
          </w:p>
        </w:tc>
        <w:tc>
          <w:tcPr/>
          <w:p>
            <w:hyperlink r:id="rId10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$2,063.5M</w:t>
            </w:r>
          </w:p>
        </w:tc>
        <w:tc>
          <w:tcPr/>
          <w:p>
            <w:r>
              <w:t xml:space="preserve">+1.2%</w:t>
            </w:r>
          </w:p>
        </w:tc>
        <w:tc>
          <w:tcPr/>
          <w:p>
            <w:r>
              <w:t xml:space="preserve">调整后 EBITDA $327.2M（15.9%）</w:t>
            </w:r>
          </w:p>
        </w:tc>
        <w:tc>
          <w:tcPr/>
          <w:p>
            <w:r>
              <w:t xml:space="preserve">净新签 $3,120M</w:t>
            </w:r>
          </w:p>
        </w:tc>
        <w:tc>
          <w:tcPr/>
          <w:p>
            <w:r>
              <w:t xml:space="preserve">1.51x</w:t>
            </w:r>
          </w:p>
        </w:tc>
      </w:tr>
      <w:tr>
        <w:tc>
          <w:tcPr/>
          <w:p>
            <w:r>
              <w:t xml:space="preserve">Medpace</w:t>
            </w:r>
          </w:p>
        </w:tc>
        <w:tc>
          <w:tcPr/>
          <w:p>
            <w:hyperlink r:id="rId11">
              <w:r>
                <w:rPr>
                  <w:color w:val="0563C1"/>
                  <w:u w:val="single"/>
                </w:rPr>
                <w:t xml:space="preserve">2026 Q2（07-22 发布）</w:t>
              </w:r>
            </w:hyperlink>
          </w:p>
        </w:tc>
        <w:tc>
          <w:tcPr/>
          <w:p>
            <w:r>
              <w:t xml:space="preserve">$707.3M</w:t>
            </w:r>
          </w:p>
        </w:tc>
        <w:tc>
          <w:tcPr/>
          <w:p>
            <w:r>
              <w:t xml:space="preserve">+17.2%</w:t>
            </w:r>
          </w:p>
        </w:tc>
        <w:tc>
          <w:tcPr/>
          <w:p>
            <w:r>
              <w:t xml:space="preserve">净利润 $121.4M</w:t>
            </w:r>
          </w:p>
        </w:tc>
        <w:tc>
          <w:tcPr/>
          <w:p>
            <w:r>
              <w:t xml:space="preserve">净新签 $795.7M（+28.2%）</w:t>
            </w:r>
          </w:p>
        </w:tc>
        <w:tc>
          <w:tcPr/>
          <w:p>
            <w:r>
              <w:t xml:space="preserve">1.13x</w:t>
            </w:r>
          </w:p>
        </w:tc>
      </w:tr>
      <w:tr>
        <w:tc>
          <w:tcPr/>
          <w:p>
            <w:r>
              <w:t xml:space="preserve">Fortrea</w:t>
            </w:r>
          </w:p>
        </w:tc>
        <w:tc>
          <w:tcPr/>
          <w:p>
            <w:hyperlink r:id="rId12">
              <w:r>
                <w:rPr>
                  <w:color w:val="0563C1"/>
                  <w:u w:val="single"/>
                </w:rPr>
                <w:t xml:space="preserve">2026 Q2（07-29 发布）</w:t>
              </w:r>
            </w:hyperlink>
          </w:p>
        </w:tc>
        <w:tc>
          <w:tcPr/>
          <w:p>
            <w:r>
              <w:t xml:space="preserve">$678.2M</w:t>
            </w:r>
          </w:p>
        </w:tc>
        <w:tc>
          <w:tcPr/>
          <w:p>
            <w:r>
              <w:t xml:space="preserve">-4.5%</w:t>
            </w:r>
          </w:p>
        </w:tc>
        <w:tc>
          <w:tcPr/>
          <w:p>
            <w:r>
              <w:t xml:space="preserve">调整后 EBITDA $58.7M</w:t>
            </w:r>
          </w:p>
        </w:tc>
        <w:tc>
          <w:tcPr/>
          <w:p>
            <w:r>
              <w:t xml:space="preserve">未披露金额</w:t>
            </w:r>
          </w:p>
        </w:tc>
        <w:tc>
          <w:tcPr/>
          <w:p>
            <w:r>
              <w:t xml:space="preserve">1.06x（滚动 1.12x）</w:t>
            </w:r>
          </w:p>
        </w:tc>
      </w:tr>
    </w:tbl>
    <w:p/>
    <w:p>
      <w:r>
        <w:t xml:space="preserve">*IQVIA：调整后 EBITDA $994M（+9.2%）；在手订单 $34.2B；上调全年指引*</w:t>
      </w:r>
    </w:p>
    <w:p>
      <w:r>
        <w:t xml:space="preserve">*ICON：在手订单 $23.4B（环比 +3.0%）；维持全年指引*</w:t>
      </w:r>
    </w:p>
    <w:p>
      <w:r>
        <w:t xml:space="preserve">*Medpace：在手订单约 $3.0B；上调全年收入指引至 $2,805M–2,885M*</w:t>
      </w:r>
    </w:p>
    <w:p>
      <w:r>
        <w:t xml:space="preserve">*Fortrea：在手订单 $7.8B；上调全年收入指引至 $2,620M–2,690M*</w:t>
      </w:r>
    </w:p>
    <w:p>
      <w:r>
        <w:t xml:space="preserve">*注：Parexel、PSI、Syneos 为非上市或已私有化公司，不发布公开季报，业绩对比仅覆盖上市主体。*</w:t>
      </w:r>
    </w:p>
    <w:p>
      <w:r>
        <w:t xml:space="preserve">*数据来源：各公司 IR 站 / SEC 文件公开披露（检索截至 2026-08-26；金额单位为美元，B = 十亿，M = 百万）；口径以各公司披露原文为准。*</w:t>
      </w:r>
    </w:p>
    <w:p>
      <w:r>
        <w:rPr>
          <w:b/>
        </w:rPr>
        <w:t xml:space="preserve">1.ICON：公布股东大会结果</w:t>
      </w:r>
      <w:r>
        <w:t xml:space="preserve"> 2026/8/3 </w:t>
      </w:r>
      <w:hyperlink r:id="rId1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ICON公布年度股东大会结果，宣布过去五年助力60种FDA/EMA批准疗法；强调其临床研究、咨询和商业服务在多个行业领域的全面布局，助力药物研发效率提升。</w:t>
      </w:r>
    </w:p>
    <w:p>
      <w:pPr>
        <w:pStyle w:val="Heading3"/>
      </w:pPr>
      <w:r>
        <w:t xml:space="preserve">2.2 国内 CRO</w:t>
      </w:r>
    </w:p>
    <w:p>
      <w:r>
        <w:rPr>
          <w:b/>
        </w:rPr>
        <w:t xml:space="preserve">国内上市 CRO 最新业绩快照</w:t>
      </w:r>
      <w:r>
        <w:t xml:space="preserve">（不论发布月份）：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营收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同比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利润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新订单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Book-to-Bill</w:t>
            </w:r>
          </w:p>
        </w:tc>
      </w:tr>
      <w:tr>
        <w:tc>
          <w:tcPr/>
          <w:p>
            <w:r>
              <w:t xml:space="preserve">药明康德</w:t>
            </w:r>
          </w:p>
        </w:tc>
        <w:tc>
          <w:tcPr/>
          <w:p>
            <w:hyperlink r:id="rId14">
              <w:r>
                <w:rPr>
                  <w:color w:val="0563C1"/>
                  <w:u w:val="single"/>
                </w:rPr>
                <w:t xml:space="preserve">2026 H1（08-03 披露）</w:t>
              </w:r>
            </w:hyperlink>
          </w:p>
        </w:tc>
        <w:tc>
          <w:tcPr/>
          <w:p>
            <w:r>
              <w:t xml:space="preserve">288.97亿元</w:t>
            </w:r>
          </w:p>
        </w:tc>
        <w:tc>
          <w:tcPr/>
          <w:p>
            <w:r>
              <w:t xml:space="preserve">+38.9%</w:t>
            </w:r>
          </w:p>
        </w:tc>
        <w:tc>
          <w:tcPr/>
          <w:p>
            <w:r>
              <w:t xml:space="preserve">归母净利 110.8亿元（+29.4%）</w:t>
            </w:r>
          </w:p>
        </w:tc>
        <w:tc>
          <w:tcPr/>
          <w:p>
            <w:r>
              <w:t xml:space="preserve">在手订单 +25%+（金额未披露）</w:t>
            </w:r>
          </w:p>
        </w:tc>
        <w:tc>
          <w:tcPr/>
          <w:p>
            <w:r>
              <w:t xml:space="preserve">未披露</w:t>
            </w:r>
          </w:p>
        </w:tc>
      </w:tr>
      <w:tr>
        <w:tc>
          <w:tcPr/>
          <w:p>
            <w:r>
              <w:t xml:space="preserve">康龙化成</w:t>
            </w:r>
          </w:p>
        </w:tc>
        <w:tc>
          <w:tcPr/>
          <w:p>
            <w:hyperlink r:id="rId15">
              <w:r>
                <w:rPr>
                  <w:color w:val="0563C1"/>
                  <w:u w:val="single"/>
                </w:rPr>
                <w:t xml:space="preserve">2026 H1（08-21 披露）</w:t>
              </w:r>
            </w:hyperlink>
          </w:p>
        </w:tc>
        <w:tc>
          <w:tcPr/>
          <w:p>
            <w:r>
              <w:t xml:space="preserve">75.95亿元</w:t>
            </w:r>
          </w:p>
        </w:tc>
        <w:tc>
          <w:tcPr/>
          <w:p>
            <w:r>
              <w:t xml:space="preserve">+17.92%</w:t>
            </w:r>
          </w:p>
        </w:tc>
        <w:tc>
          <w:tcPr/>
          <w:p>
            <w:r>
              <w:t xml:space="preserve">归母净利 7.50亿元（+6.96%）</w:t>
            </w:r>
          </w:p>
        </w:tc>
        <w:tc>
          <w:tcPr/>
          <w:p>
            <w:r>
              <w:t xml:space="preserve">同比 +30%+（金额未披露）</w:t>
            </w:r>
          </w:p>
        </w:tc>
        <w:tc>
          <w:tcPr/>
          <w:p>
            <w:r>
              <w:t xml:space="preserve">未披露</w:t>
            </w:r>
          </w:p>
        </w:tc>
      </w:tr>
    </w:tbl>
    <w:p/>
    <w:p>
      <w:r>
        <w:t xml:space="preserve">*药明康德：经调整 non-IFRS 归母 115.7亿元（+83.2%）；上调全年收入指引至 585亿~605亿元（原 513亿~530亿元）*</w:t>
      </w:r>
    </w:p>
    <w:p>
      <w:r>
        <w:t xml:space="preserve">*康龙化成：全年收入指引 +15%~20%；实验室服务新签 +20%+、小分子 CDMO 新签 +50%+*</w:t>
      </w:r>
    </w:p>
    <w:p>
      <w:r>
        <w:t xml:space="preserve">*数据来源：公司定期报告/公告公开披露（金额为人民币）；口径以公司披露原文为准。*</w:t>
      </w:r>
    </w:p>
    <w:p>
      <w:r>
        <w:rPr>
          <w:b/>
        </w:rPr>
        <w:t xml:space="preserve">2.普蕊斯：2026年半年度报告</w:t>
      </w:r>
      <w:r>
        <w:t xml:space="preserve"> 2026/8/29 </w:t>
      </w:r>
      <w:hyperlink r:id="rId1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2026年半年度报告</w:t>
      </w:r>
    </w:p>
    <w:p>
      <w:r>
        <w:rPr>
          <w:b/>
        </w:rPr>
        <w:t xml:space="preserve">3.普蕊斯：2026年半年度报告摘要</w:t>
      </w:r>
      <w:r>
        <w:t xml:space="preserve"> 2026/8/29 </w:t>
      </w:r>
      <w:hyperlink r:id="rId17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2026年半年度报告摘要</w:t>
      </w:r>
    </w:p>
    <w:p>
      <w:r>
        <w:rPr>
          <w:b/>
        </w:rPr>
        <w:t xml:space="preserve">4.普蕊斯：关于公司股东减持股份预披露公告</w:t>
      </w:r>
      <w:r>
        <w:t xml:space="preserve"> 2026/8/24 </w:t>
      </w:r>
      <w:hyperlink r:id="rId18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公司股东减持股份预披露</w:t>
      </w:r>
    </w:p>
    <w:p>
      <w:pPr>
        <w:pStyle w:val="Heading2"/>
      </w:pPr>
      <w:r>
        <w:t xml:space="preserve">🤖 ③ 数字技术与AI</w:t>
      </w:r>
    </w:p>
    <w:p>
      <w:r>
        <w:rPr>
          <w:b/>
        </w:rPr>
        <w:t xml:space="preserve">主线：</w:t>
      </w:r>
      <w:r>
        <w:t xml:space="preserve">AI 从单点试点走向平台化与生态绑定——Syneos Health 推进AI能力建设</w:t>
      </w:r>
    </w:p>
    <w:p>
      <w:pPr>
        <w:pStyle w:val="Heading3"/>
      </w:pPr>
      <w:r>
        <w:t xml:space="preserve">3.1 海外 CRO</w:t>
      </w:r>
    </w:p>
    <w:p>
      <w:r>
        <w:rPr>
          <w:b/>
        </w:rPr>
        <w:t xml:space="preserve">1.Syneos Health：推进AI能力建设</w:t>
      </w:r>
      <w:r>
        <w:t xml:space="preserve"> 2026/8/18 </w:t>
      </w:r>
      <w:hyperlink r:id="rId19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Syneos Health推出AI驱动的临床试验生态系统，旨在优化试验表现并加速决策过程。此举将提升临床试验效率，推动医药行业创新。</w:t>
      </w:r>
    </w:p>
    <w:p>
      <w:pPr>
        <w:pStyle w:val="Heading3"/>
      </w:pPr>
      <w:r>
        <w:t xml:space="preserve">3.2 国内 CRO</w:t>
      </w:r>
    </w:p>
    <w:p>
      <w:r>
        <w:t xml:space="preserve">本月暂无国内相关动态。</w:t>
      </w:r>
    </w:p>
    <w:p>
      <w:pPr>
        <w:pStyle w:val="Heading2"/>
      </w:pPr>
      <w:r>
        <w:t xml:space="preserve">🌍 ④ 业务发展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🏗 ⑤ 资产整合与市场融资</w:t>
      </w:r>
    </w:p>
    <w:p>
      <w:r>
        <w:rPr>
          <w:b/>
        </w:rPr>
        <w:t xml:space="preserve">主线：</w:t>
      </w:r>
      <w:r>
        <w:t xml:space="preserve">资产整合与融资活动并行——博济医药 推进收购/资产整合</w:t>
      </w:r>
    </w:p>
    <w:p>
      <w:pPr>
        <w:pStyle w:val="Heading3"/>
      </w:pPr>
      <w:r>
        <w:t xml:space="preserve">5.1 海外 CRO</w:t>
      </w:r>
    </w:p>
    <w:p>
      <w:r>
        <w:t xml:space="preserve">本月暂无海外相关动态。</w:t>
      </w:r>
    </w:p>
    <w:p>
      <w:pPr>
        <w:pStyle w:val="Heading3"/>
      </w:pPr>
      <w:r>
        <w:t xml:space="preserve">5.2 国内 CRO</w:t>
      </w:r>
    </w:p>
    <w:p>
      <w:r>
        <w:rPr>
          <w:b/>
        </w:rPr>
        <w:t xml:space="preserve">收购 / 并购 / 资产出售</w:t>
      </w:r>
    </w:p>
    <w:p>
      <w:r>
        <w:rPr>
          <w:b/>
        </w:rPr>
        <w:t xml:space="preserve">1.博济医药：关于计提资产减值损失、信用减值损失及核销资产的公告</w:t>
      </w:r>
      <w:r>
        <w:t xml:space="preserve"> 2026/8/27 </w:t>
      </w:r>
      <w:hyperlink r:id="rId20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计提资产减值损失、信用减值损失及核销资产</w:t>
      </w:r>
    </w:p>
    <w:p>
      <w:r>
        <w:rPr>
          <w:b/>
        </w:rPr>
        <w:t xml:space="preserve">产能建设 / 资本开支</w:t>
      </w:r>
    </w:p>
    <w:p>
      <w:r>
        <w:t xml:space="preserve">本月暂无相关动态。</w:t>
      </w:r>
    </w:p>
    <w:p>
      <w:r>
        <w:rPr>
          <w:b/>
        </w:rPr>
        <w:t xml:space="preserve">市场融资 / 增资入股</w:t>
      </w:r>
    </w:p>
    <w:p>
      <w:r>
        <w:t xml:space="preserve">本月暂无相关动态。</w:t>
      </w:r>
    </w:p>
    <w:p>
      <w:r>
        <w:rPr>
          <w:b/>
        </w:rPr>
        <w:t xml:space="preserve">股份回购 / 票据发行 / 股息派发</w:t>
      </w:r>
    </w:p>
    <w:p>
      <w:r>
        <w:rPr>
          <w:b/>
        </w:rPr>
        <w:t xml:space="preserve">2.诺思格：关于提前终止回购公司股份方案暨回购实施结果的公告</w:t>
      </w:r>
      <w:r>
        <w:t xml:space="preserve"> 2026/8/14 </w:t>
      </w:r>
      <w:hyperlink r:id="rId21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提前终止回购公司股份方案暨回购实施结果</w:t>
      </w:r>
    </w:p>
    <w:p>
      <w:r>
        <w:rPr>
          <w:b/>
        </w:rPr>
        <w:t xml:space="preserve">3.诺思格：关于股份回购进展的公告</w:t>
      </w:r>
      <w:r>
        <w:t xml:space="preserve"> 2026/8/4 </w:t>
      </w:r>
      <w:hyperlink r:id="rId2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股份回购进展的公告</w:t>
      </w:r>
    </w:p>
    <w:p>
      <w:pPr>
        <w:pStyle w:val="Heading2"/>
      </w:pPr>
      <w:r>
        <w:t xml:space="preserve">👥 ⑥ 核心团队调整</w:t>
      </w:r>
    </w:p>
    <w:p>
      <w:r>
        <w:rPr>
          <w:b/>
        </w:rPr>
        <w:t xml:space="preserve">主线：</w:t>
      </w:r>
      <w:r>
        <w:t xml:space="preserve">以核心岗位公开任免为主——博济医药 增补董事会成员</w:t>
      </w:r>
    </w:p>
    <w:p>
      <w:pPr>
        <w:pStyle w:val="Heading3"/>
      </w:pPr>
      <w:r>
        <w:t xml:space="preserve">6.1 海外 CRO</w:t>
      </w:r>
    </w:p>
    <w:p>
      <w:r>
        <w:t xml:space="preserve">本月暂无海外相关动态。</w:t>
      </w:r>
    </w:p>
    <w:p>
      <w:pPr>
        <w:pStyle w:val="Heading3"/>
      </w:pPr>
      <w:r>
        <w:t xml:space="preserve">6.2 国内 CRO</w:t>
      </w:r>
    </w:p>
    <w:p>
      <w:r>
        <w:rPr>
          <w:b/>
        </w:rPr>
        <w:t xml:space="preserve">1.博济医药：关于选举公司职工代表董事的公告</w:t>
      </w:r>
      <w:r>
        <w:t xml:space="preserve"> 2026/8/1 </w:t>
      </w:r>
      <w:hyperlink r:id="rId2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选举公司职工代表董事</w:t>
      </w:r>
    </w:p>
    <w:p>
      <w:r>
        <w:rPr>
          <w:b/>
        </w:rPr>
        <w:t xml:space="preserve">2.博济医药：关于公司董事会完成换届选举及聘任公司高级管理人员、证券事务代表、内审部负责人的公告</w:t>
      </w:r>
      <w:r>
        <w:t xml:space="preserve"> 2026/8/1 </w:t>
      </w:r>
      <w:hyperlink r:id="rId2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公司董事会完成换届选举及聘任公司高级管…</w:t>
      </w:r>
    </w:p>
    <w:p>
      <w:pPr>
        <w:pStyle w:val="Heading2"/>
      </w:pPr>
      <w:r>
        <w:t xml:space="preserve">📌 ⑦ 其他动态</w:t>
      </w:r>
    </w:p>
    <w:p>
      <w:r>
        <w:rPr>
          <w:b/>
        </w:rPr>
        <w:t xml:space="preserve">主线：</w:t>
      </w:r>
      <w:r>
        <w:t xml:space="preserve">产品获批与品牌活动交织——博济医药 参加行业会议/论坛</w:t>
      </w:r>
    </w:p>
    <w:p>
      <w:pPr>
        <w:pStyle w:val="Heading3"/>
      </w:pPr>
      <w:r>
        <w:t xml:space="preserve">7.1 海外 CRO</w:t>
      </w:r>
    </w:p>
    <w:p>
      <w:r>
        <w:rPr>
          <w:b/>
        </w:rPr>
        <w:t xml:space="preserve">1.ICON：发布社会责任报告</w:t>
      </w:r>
      <w:r>
        <w:t xml:space="preserve"> 2026/8/20 </w:t>
      </w:r>
      <w:hyperlink r:id="rId2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ICON发布2025年社会责任报告，涵盖全球多个行业，助力药物研发效率提升。报告强调患者影响、创新与可持续性，推动行业进步。</w:t>
      </w:r>
    </w:p>
    <w:p>
      <w:pPr>
        <w:pStyle w:val="Heading3"/>
      </w:pPr>
      <w:r>
        <w:t xml:space="preserve">7.2 国内 CRO</w:t>
      </w:r>
    </w:p>
    <w:p>
      <w:r>
        <w:rPr>
          <w:b/>
        </w:rPr>
        <w:t xml:space="preserve">2.普蕊斯：2026年半年度募集资金存放、管理与使用情况的专项报告</w:t>
      </w:r>
      <w:r>
        <w:t xml:space="preserve"> 2026/8/29 </w:t>
      </w:r>
      <w:hyperlink r:id="rId2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2026年半年度募集资金存放、管理</w:t>
      </w:r>
    </w:p>
    <w:p>
      <w:r>
        <w:rPr>
          <w:b/>
        </w:rPr>
        <w:t xml:space="preserve">3.普蕊斯：第四届董事会第三次会议决议公告</w:t>
      </w:r>
      <w:r>
        <w:t xml:space="preserve"> 2026/8/29 </w:t>
      </w:r>
      <w:hyperlink r:id="rId27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第四届董事会第三次会议决议</w:t>
      </w:r>
    </w:p>
    <w:p>
      <w:r>
        <w:rPr>
          <w:b/>
        </w:rPr>
        <w:t xml:space="preserve">4.诺思格：第五届董事会第二十二次会议决议公告</w:t>
      </w:r>
      <w:r>
        <w:t xml:space="preserve"> 2026/8/28 </w:t>
      </w:r>
      <w:hyperlink r:id="rId28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第五届董事会第二十二次会议决议</w:t>
      </w:r>
    </w:p>
    <w:p>
      <w:r>
        <w:rPr>
          <w:b/>
        </w:rPr>
        <w:t xml:space="preserve">5.诺思格：2026年半年度募集资金存放与使用情况的专项报告</w:t>
      </w:r>
      <w:r>
        <w:t xml:space="preserve"> 2026/8/28 </w:t>
      </w:r>
      <w:hyperlink r:id="rId29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2026年半年度募集资金存放与使用情况</w:t>
      </w:r>
    </w:p>
    <w:p>
      <w:r>
        <w:rPr>
          <w:b/>
        </w:rPr>
        <w:t xml:space="preserve">6.博济医药：第六届董事会第二次会议决议公告</w:t>
      </w:r>
      <w:r>
        <w:t xml:space="preserve"> 2026/8/27 </w:t>
      </w:r>
      <w:hyperlink r:id="rId30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第六届董事会第二次会议决议</w:t>
      </w:r>
    </w:p>
    <w:p>
      <w:r>
        <w:rPr>
          <w:b/>
        </w:rPr>
        <w:t xml:space="preserve">7.博济医药：股票交易异常波动公告</w:t>
      </w:r>
      <w:r>
        <w:t xml:space="preserve"> 2026/8/14 </w:t>
      </w:r>
      <w:hyperlink r:id="rId31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股票交易异常波动公告</w:t>
      </w:r>
    </w:p>
    <w:p>
      <w:r>
        <w:rPr>
          <w:b/>
        </w:rPr>
        <w:t xml:space="preserve">8.聚焦真实世界研究！博济医药子公司杏林中医药首席技术官王领娣受邀出席【博雅荟-询证中国行】成都站</w:t>
      </w:r>
      <w:r>
        <w:t xml:space="preserve"> 2026/8/11 </w:t>
      </w:r>
      <w:hyperlink r:id="rId3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博济医药子公司杏林中医药首席技术官王领娣受邀出席【博雅荟-询证中国行】成都站，聚焦真实世界研究。此次出席将推动行业对真实世界研究的关注和深入探讨。</w:t>
      </w:r>
    </w:p>
    <w:p>
      <w:r>
        <w:rPr>
          <w:b/>
        </w:rPr>
        <w:t xml:space="preserve">9.博济医药：博济专业护航｜Astem-101干细胞新药临床研究专家研讨会圆满召开</w:t>
      </w:r>
      <w:r>
        <w:t xml:space="preserve"> 2026/8/5 </w:t>
      </w:r>
      <w:hyperlink r:id="rId3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博济医药成功举办Astem-101干细胞新药临床研究专家研讨会；彰显其在CRO领域的专业实力和临床研究能力。</w:t>
      </w:r>
    </w:p>
    <w:p>
      <w:r>
        <w:rPr>
          <w:b/>
        </w:rPr>
        <w:t xml:space="preserve">10.强强联手！博济医药与北京顺欣祥宇签订活动性炎症性肠病Ⅰ~Ⅱ期临床项目，开启深度协作新篇章</w:t>
      </w:r>
      <w:r>
        <w:t xml:space="preserve"> 2026/8/3 </w:t>
      </w:r>
      <w:hyperlink r:id="rId3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博济医药与北京顺欣祥宇签订炎症性肠病临床项目，开启深度合作；项目将推动炎症性肠病治疗领域发展。</w:t>
      </w:r>
    </w:p>
    <w:p>
      <w:r>
        <w:rPr>
          <w:b/>
        </w:rPr>
        <w:t xml:space="preserve">11.博济医药：关于全资子公司参与投资的新药产业投资基金解散清算的公告</w:t>
      </w:r>
      <w:r>
        <w:t xml:space="preserve"> 2026/8/1 </w:t>
      </w:r>
      <w:hyperlink r:id="rId3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全资子公司参与投资</w:t>
      </w:r>
    </w:p>
    <w:p>
      <w:r>
        <w:rPr>
          <w:b/>
        </w:rPr>
        <w:t xml:space="preserve">12.博济医药：2026年第二次临时股东会决议公告</w:t>
      </w:r>
      <w:r>
        <w:t xml:space="preserve"> 2026/8/1 </w:t>
      </w:r>
      <w:hyperlink r:id="rId3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2026年第二次临时股东会决议</w:t>
      </w:r>
    </w:p>
    <w:p>
      <w:r>
        <w:rPr>
          <w:b/>
        </w:rPr>
        <w:t xml:space="preserve">13.博济医药：第六届董事会第一次会议决议公告</w:t>
      </w:r>
      <w:r>
        <w:t xml:space="preserve"> 2026/8/1 </w:t>
      </w:r>
      <w:hyperlink r:id="rId37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第六届董事会第一次会议决议</w:t>
      </w:r>
    </w:p>
    <w:p>
      <w:pPr>
        <w:pStyle w:val="Heading2"/>
      </w:pPr>
      <w:r>
        <w:t xml:space="preserve">🌐 行业观察</w:t>
      </w:r>
    </w:p>
    <w:p>
      <w:r>
        <w:t xml:space="preserve">*摩熵医药资讯 + ByDrug 全站列表按 CXO/CRO/临床关键词过滤，已剔除与前文公司条目重复的内容；条目归属原始来源媒体，用于补充需求侧/赛道侧信号（客户管线进展、行业事件）。*</w:t>
      </w:r>
    </w:p>
    <w:p>
      <w:r>
        <w:rPr>
          <w:b/>
        </w:rPr>
        <w:t xml:space="preserve">1.动脉网-最新：【首发】卓知医疗完成2000万元天使轮融资，中关村资本领投，瞄准3亿慢性疼痛人群测与治</w:t>
      </w:r>
      <w:r>
        <w:t xml:space="preserve"> 2026/9/1 </w:t>
      </w:r>
      <w:hyperlink r:id="rId38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卓知医疗完成2000万元天使轮融资，聚焦3亿慢性疼痛人群测与治；资金将用于核心技术平台研发和临床研究，推动疼痛管理规范化发展。</w:t>
      </w:r>
    </w:p>
    <w:p>
      <w:r>
        <w:rPr>
          <w:b/>
        </w:rPr>
        <w:t xml:space="preserve">2.动脉网-最新：时代天使2026上半年总案例数达316,609例 中国市场领先优势扩大</w:t>
      </w:r>
      <w:r>
        <w:t xml:space="preserve"> 2026/9/1 </w:t>
      </w:r>
      <w:hyperlink r:id="rId39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时代天使2026上半年总案例数达316,609例，同比增长40.2%；公司收入及净利润同比增长分别达到42.9%和79.6%，中国市场领先优势扩大，推动全球业务增长。</w:t>
      </w:r>
    </w:p>
    <w:p>
      <w:r>
        <w:rPr>
          <w:b/>
        </w:rPr>
        <w:t xml:space="preserve">3.TrialiCube：8月魔方中国之声 | 石药集团-SYH2069启动一项 针对2型糖尿病的中国Phase II临床试验</w:t>
      </w:r>
      <w:r>
        <w:t xml:space="preserve"> 2026/9/1 </w:t>
      </w:r>
      <w:hyperlink r:id="rId40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石药集团启动针对2型糖尿病的SYH2069中国Phase II临床试验，计划入组240例受试者；试验旨在评估SYH2069注射液的有效性和安全性，对糖尿病治疗领域具有积极意义。</w:t>
      </w:r>
    </w:p>
    <w:p>
      <w:r>
        <w:rPr>
          <w:b/>
        </w:rPr>
        <w:t xml:space="preserve">4.TrialiCube：8月魔方中国之声 | 贝达药业-贝福替尼启动一项 针对非小细胞肺癌的中国Phase I临床试验</w:t>
      </w:r>
      <w:r>
        <w:t xml:space="preserve"> 2026/9/1 </w:t>
      </w:r>
      <w:hyperlink r:id="rId41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贝达药业启动贝福替尼针对非小细胞肺癌的中国Phase I临床试验，计划入组36例受试者。试验旨在评估利福平或伊曲康唑对贝福替尼药代动力学的影响，为后续研发提供重要数据。</w:t>
      </w:r>
    </w:p>
    <w:p>
      <w:r>
        <w:rPr>
          <w:b/>
        </w:rPr>
        <w:t xml:space="preserve">5.TrialiCube：8月魔方TOP药企动态播报 | Pfizer-20价肺炎球菌多糖结合疫苗(Prevnar 20),multivalent pneumococcal conjugate vaccine (PG4)启动一项 针对肺炎球菌感染的Phase III临床试验</w:t>
      </w:r>
      <w:r>
        <w:t xml:space="preserve"> 2026/9/1 </w:t>
      </w:r>
      <w:hyperlink r:id="rId4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辉瑞启动Prevnar 20和PG4的Phase III临床试验，计划入组4670例受试者；试验评估疫苗在成人中的安全性、耐受性和免疫原性，有望推动肺炎球菌感染防治。</w:t>
      </w:r>
    </w:p>
    <w:p>
      <w:r>
        <w:rPr>
          <w:b/>
        </w:rPr>
        <w:t xml:space="preserve">6.TrialiCube：8月魔方中国之声 | 再鼎医药-zocilurtatug pelitecan启动一项 针对小细胞肺癌的Phase III临床试验</w:t>
      </w:r>
      <w:r>
        <w:t xml:space="preserve"> 2026/9/1 </w:t>
      </w:r>
      <w:hyperlink r:id="rId4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再鼎医药启动针对小细胞肺癌的III期临床试验，研究药物为zocilurtatug pelitecan（ZL-1310），旨在评估其联合免疫检查点抑制剂的疗效与安全性。该试验将推动小细胞肺癌一线治疗的发展。</w:t>
      </w:r>
    </w:p>
    <w:p>
      <w:r>
        <w:rPr>
          <w:b/>
        </w:rPr>
        <w:t xml:space="preserve">7.TrialiCube：8月魔方中国之声 | 一品红-APH04935启动一项 针对超重,肥胖的中国Phase I临床试验</w:t>
      </w:r>
      <w:r>
        <w:t xml:space="preserve"> 2026/9/1 </w:t>
      </w:r>
      <w:hyperlink r:id="rId4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一品红启动针对超重、肥胖人群的APH04935片中国Phase I临床试验，计划入组82名受试者；试验旨在评估药物安全性、耐受性等，为肥胖治疗提供新选择。</w:t>
      </w:r>
    </w:p>
    <w:p>
      <w:r>
        <w:rPr>
          <w:b/>
        </w:rPr>
        <w:t xml:space="preserve">8.TrialiCube：8月魔方中国之声 | 长风药业-ICF001启动一项 针对肺纤维化,肺动脉高压,间质性肺病相关肺高压,间质性肺病,特发性肺纤维化的中国Phase I临床试验</w:t>
      </w:r>
      <w:r>
        <w:t xml:space="preserve"> 2026/9/1 </w:t>
      </w:r>
      <w:hyperlink r:id="rId4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长风药业启动针对多种肺病的ICF001 I期临床试验，计划入组90名受试者；试验旨在评估ICF001的安全性、耐受性和药代动力学特征，为未来治疗肺纤维化等疾病提供新选择。</w:t>
      </w:r>
    </w:p>
    <w:p>
      <w:r>
        <w:rPr>
          <w:b/>
        </w:rPr>
        <w:t xml:space="preserve">9.TrialiCube：8月魔方中国之声 | 华东医药-CMCY2304启动一项 针对动脉硬化,脑缺血,心血管疾病的中国Phase I临床试验</w:t>
      </w:r>
      <w:r>
        <w:t xml:space="preserve"> 2026/9/1 </w:t>
      </w:r>
      <w:hyperlink r:id="rId4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华东医药启动针对动脉硬化、脑缺血及心血管疾病的中国I期临床试验，试验药物为CMCY2304口崩片；试验旨在评估CMCY2304的药代动力学和药效动力学特性，为后续研究奠定基础。</w:t>
      </w:r>
    </w:p>
    <w:p>
      <w:r>
        <w:rPr>
          <w:b/>
        </w:rP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战略合作、资本与财务动态两类合计 11 条，约占全部记录的 36%，为记录最集中的方向。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海外 7 家合计 3 条、国内 10 家合计 27 条；博济医药（17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本月窗口（2026-08-01 至 2026-08-31）共收录 30 条（来自 斯丹姆、博济医药、ICON、普蕊斯、Syneos Health、诺思格），另有行业观察 9 条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快照内无已排期的未来投资者活动；下期月报 2026-10-01（每月 1 日）09:30 自动生成。</w:t>
      </w:r>
    </w:p>
    <w:p>
      <w:r>
        <w:rPr>
          <w:b/>
        </w:rP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标签页、巨潮资讯网公告（A 股 5 家官方披露第一手）（两套监控自动采集）；行业观察章为摩熵医药 /zixun + ByDrug 全站列表按关键词过滤</w:t>
      </w:r>
    </w:p>
    <w:p>
      <w:pPr>
        <w:ind w:left="360" w:hanging="360"/>
      </w:pPr>
      <w:r>
        <w:t xml:space="preserve">• </w:t>
      </w:r>
      <w:r>
        <w:t xml:space="preserve">海外快照：2026-09-01T09:23:56（Top 7 CRO Monthly Monitor）｜国内快照：2026-09-01T09:24:06（CN CRO Monthly Monitor）</w:t>
      </w:r>
    </w:p>
    <w:p>
      <w:pPr>
        <w:ind w:left="360" w:hanging="360"/>
      </w:pPr>
      <w:r>
        <w:t xml:space="preserve">• </w:t>
      </w:r>
      <w:r>
        <w:t xml:space="preserve">生成日期：2026-09-02；由两份快照离线合并生成，条目两句话总结由智谱 GLM 读取新闻原文自动生成（英文新闻已译为中文，未成功条目回退标题概述）</w:t>
      </w:r>
    </w:p>
    <w:p>
      <w:pPr>
        <w:ind w:left="360" w:hanging="360"/>
      </w:pPr>
      <w:r>
        <w:t xml:space="preserve">• </w:t>
      </w:r>
      <w:r>
        <w:t xml:space="preserve">范围说明：仅收录发布日期落于本月窗口（上一自然月，1 日至月末）内、且上次月报未收录过的新增动态，窗口外与历史已收录条目不重复收录（数据采集为每月 1 日执行一次，月首重叠日靠跨报告 URL 比对去重，覆盖上月 1 日发布、本月才抓到的条目）；康龙化成、药明康德业务线较宽（实验室服务/CDMO/安评/大分子等），本报告仅收录其</w:t>
      </w:r>
      <w:r>
        <w:rPr>
          <w:b/>
        </w:rPr>
        <w:t xml:space="preserve">临床 CRO 服务</w:t>
      </w:r>
      <w:r>
        <w:t xml:space="preserve">相关动态（按标题关键词过滤，快照数据仍全量采集）；</w:t>
      </w:r>
    </w:p>
    <w:p>
      <w:pPr>
        <w:ind w:left="360" w:hanging="360"/>
      </w:pPr>
      <w:r>
        <w:t xml:space="preserve">• </w:t>
      </w:r>
      <w:r>
        <w:t xml:space="preserve">行业观察说明：摩熵医药资讯 + ByDrug 全站列表按 CXO/CRO/临床等关键词过滤（标题＋摘要匹配），仅收录本月窗口内、且未与前文公司条目（按 URL 与标题）重复的动态，时间倒序至多 10 条；条目归属原始来源媒体（ByDrug 聚合时标注来源），反映需求侧/赛道侧信号而非监测公司自身动作</w:t>
      </w:r>
    </w:p>
    <w:p>
      <w:pPr>
        <w:ind w:left="360" w:hanging="360"/>
      </w:pPr>
      <w:r>
        <w:t xml:space="preserve">• </w:t>
      </w:r>
      <w:r>
        <w:t xml:space="preserve">归类说明：七类按关键词优先级匹配（判序：数字技术与AI→业务发展→核心团队调整→资产整合与市场融资→资本与财务动态→战略合作，未命中归其他动态；展示顺序：战略合作→资本与财务动态→数字技术与AI→业务发展→资产整合与市场融资→核心团队调整→其他动态）；各模块分「N.1 海外 CRO」「N.2 国内 CRO」两部分（N 为模块序号，海外在前，主线概述为整体研判不分国内外）；条目为刊物式编号条目——</w:t>
      </w:r>
      <w:r>
        <w:rPr>
          <w:b/>
        </w:rPr>
        <w:t xml:space="preserve">N.标题</w:t>
      </w:r>
      <w:r>
        <w:t xml:space="preserve"> 日期 [浏览详情] 一行 + 正文两句话中文总结（智谱 GLM 读新闻原文生成，英文新闻已译中文，未成功条目回退标题概述），编号按模块连续（海外→国内贯穿）</w:t>
      </w:r>
    </w:p>
    <w:p>
      <w:pPr>
        <w:ind w:left="360" w:hanging="360"/>
      </w:pPr>
      <w:r>
        <w:t xml:space="preserve">• </w:t>
      </w:r>
      <w:r>
        <w:t xml:space="preserve">财报说明：②资本与财务动态海外/国内两侧均为「本月窗口内新发布财报条目 + 常设最新业绩快照表」（2026-08-26 起：快照表不论财报发布是否在本月窗口，每期都列 quarterly-fin.json 全部公司最新期指标——营收/同比/利润/新订单/Book-to-Bill；数据人工检索各公司 IR 站 / SEC / 定期报告披露后维护，检索截至日期见表格脚注；本窗口新发布但尚未入表的公司标注待更新）；⑤资产整合与市场融资按标题关键词分收购并购 / 产能资本开支 / 市场融资增资 / 回购票据股息四组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dmcro.com/zh/new/115/&#22269;&#20869;&#39318;&#20010;&#30518;&#19979;&#20985;&#38519;&#36866;&#24212;&#30151;&#27880;&#23556;&#20135;&#21697;-MaiLi&#174;Precise-&#33719;&#25209;&#19978;&#24066;-&#26031;&#20025;&#22982;&#21161;&#21147;" TargetMode="External"/><Relationship Id="rId3" Type="http://schemas.openxmlformats.org/officeDocument/2006/relationships/hyperlink" Target="https://www.gzboji.com/news/index.html#boji-733" TargetMode="External"/><Relationship Id="rId4" Type="http://schemas.openxmlformats.org/officeDocument/2006/relationships/hyperlink" Target="https://www.gzboji.com/news/index.html#boji-732" TargetMode="External"/><Relationship Id="rId5" Type="http://schemas.openxmlformats.org/officeDocument/2006/relationships/hyperlink" Target="https://www.gzboji.com/news/index.html#boji-729" TargetMode="External"/><Relationship Id="rId6" Type="http://schemas.openxmlformats.org/officeDocument/2006/relationships/hyperlink" Target="https://www.gzboji.com/news/index.html#boji-728" TargetMode="External"/><Relationship Id="rId7" Type="http://schemas.openxmlformats.org/officeDocument/2006/relationships/hyperlink" Target="https://www.gzboji.com/news/index.html#boji-727" TargetMode="External"/><Relationship Id="rId8" Type="http://schemas.openxmlformats.org/officeDocument/2006/relationships/hyperlink" Target="https://www.gzboji.com/news/index.html#boji-725" TargetMode="External"/><Relationship Id="rId9" Type="http://schemas.openxmlformats.org/officeDocument/2006/relationships/hyperlink" Target="https://ir.iqvia.com/press-releases/press-release-details/2026/IQVIA-Reports-Second-Quarter-2026-Results/default.aspx" TargetMode="External"/><Relationship Id="rId10" Type="http://schemas.openxmlformats.org/officeDocument/2006/relationships/hyperlink" Target="https://www.iconplc.com/news-events/press-releases/icon-reports-second-quarter-2026-results-0" TargetMode="External"/><Relationship Id="rId11" Type="http://schemas.openxmlformats.org/officeDocument/2006/relationships/hyperlink" Target="https://investor.medpace.com/news-releases/news-releases-details/medpace-holdings-inc-reports-second-quarter-2026-results" TargetMode="External"/><Relationship Id="rId12" Type="http://schemas.openxmlformats.org/officeDocument/2006/relationships/hyperlink" Target="https://ir.fortrea.com/news-releases/news-release-details/fortrea-reports-second-quarter-2026-results" TargetMode="External"/><Relationship Id="rId13" Type="http://schemas.openxmlformats.org/officeDocument/2006/relationships/hyperlink" Target="https://www.iconplc.com/news-events/press-releases/icon-results-annual-general-meeting" TargetMode="External"/><Relationship Id="rId14" Type="http://schemas.openxmlformats.org/officeDocument/2006/relationships/hyperlink" Target="http://static.cninfo.com.cn/finalpage/2026-08-04/1225455027.PDF" TargetMode="External"/><Relationship Id="rId15" Type="http://schemas.openxmlformats.org/officeDocument/2006/relationships/hyperlink" Target="http://static.cninfo.com.cn/finalpage/2026-08-21/1225487380.PDF" TargetMode="External"/><Relationship Id="rId16" Type="http://schemas.openxmlformats.org/officeDocument/2006/relationships/hyperlink" Target="http://static.cninfo.com.cn/finalpage/2026-08-29/1225524545.PDF" TargetMode="External"/><Relationship Id="rId17" Type="http://schemas.openxmlformats.org/officeDocument/2006/relationships/hyperlink" Target="http://static.cninfo.com.cn/finalpage/2026-08-29/1225524544.PDF" TargetMode="External"/><Relationship Id="rId18" Type="http://schemas.openxmlformats.org/officeDocument/2006/relationships/hyperlink" Target="http://static.cninfo.com.cn/finalpage/2026-08-24/1225491492.PDF" TargetMode="External"/><Relationship Id="rId19" Type="http://schemas.openxmlformats.org/officeDocument/2006/relationships/hyperlink" Target="https://www.syneoshealth.com/news/Syneos-Health-Advances-AI-Powered-Clinical-Ecosystem-to-Optimize-Trial-Performance-and-Speed-Decision-Making" TargetMode="External"/><Relationship Id="rId20" Type="http://schemas.openxmlformats.org/officeDocument/2006/relationships/hyperlink" Target="http://static.cninfo.com.cn/finalpage/2026-08-27/1225509025.PDF" TargetMode="External"/><Relationship Id="rId21" Type="http://schemas.openxmlformats.org/officeDocument/2006/relationships/hyperlink" Target="http://static.cninfo.com.cn/finalpage/2026-08-14/1225472349.PDF" TargetMode="External"/><Relationship Id="rId22" Type="http://schemas.openxmlformats.org/officeDocument/2006/relationships/hyperlink" Target="http://static.cninfo.com.cn/finalpage/2026-08-04/1225453375.PDF" TargetMode="External"/><Relationship Id="rId23" Type="http://schemas.openxmlformats.org/officeDocument/2006/relationships/hyperlink" Target="http://static.cninfo.com.cn/finalpage/2026-08-01/1225452130.PDF" TargetMode="External"/><Relationship Id="rId24" Type="http://schemas.openxmlformats.org/officeDocument/2006/relationships/hyperlink" Target="http://static.cninfo.com.cn/finalpage/2026-08-01/1225452129.PDF" TargetMode="External"/><Relationship Id="rId25" Type="http://schemas.openxmlformats.org/officeDocument/2006/relationships/hyperlink" Target="https://www.iconplc.com/news-events/press-releases/icon-releases-2025-icon-cares-report" TargetMode="External"/><Relationship Id="rId26" Type="http://schemas.openxmlformats.org/officeDocument/2006/relationships/hyperlink" Target="http://static.cninfo.com.cn/finalpage/2026-08-29/1225524548.PDF" TargetMode="External"/><Relationship Id="rId27" Type="http://schemas.openxmlformats.org/officeDocument/2006/relationships/hyperlink" Target="http://static.cninfo.com.cn/finalpage/2026-08-29/1225524547.PDF" TargetMode="External"/><Relationship Id="rId28" Type="http://schemas.openxmlformats.org/officeDocument/2006/relationships/hyperlink" Target="http://static.cninfo.com.cn/finalpage/2026-08-28/1225519081.PDF" TargetMode="External"/><Relationship Id="rId29" Type="http://schemas.openxmlformats.org/officeDocument/2006/relationships/hyperlink" Target="http://static.cninfo.com.cn/finalpage/2026-08-28/1225519080.PDF" TargetMode="External"/><Relationship Id="rId30" Type="http://schemas.openxmlformats.org/officeDocument/2006/relationships/hyperlink" Target="http://static.cninfo.com.cn/finalpage/2026-08-27/1225509024.PDF" TargetMode="External"/><Relationship Id="rId31" Type="http://schemas.openxmlformats.org/officeDocument/2006/relationships/hyperlink" Target="http://static.cninfo.com.cn/finalpage/2026-08-14/1225474550.PDF" TargetMode="External"/><Relationship Id="rId32" Type="http://schemas.openxmlformats.org/officeDocument/2006/relationships/hyperlink" Target="https://www.gzboji.com/news/index.html#boji-730" TargetMode="External"/><Relationship Id="rId33" Type="http://schemas.openxmlformats.org/officeDocument/2006/relationships/hyperlink" Target="https://www.gzboji.com/news/index.html#boji-726" TargetMode="External"/><Relationship Id="rId34" Type="http://schemas.openxmlformats.org/officeDocument/2006/relationships/hyperlink" Target="https://www.gzboji.com/news/index.html#boji-724" TargetMode="External"/><Relationship Id="rId35" Type="http://schemas.openxmlformats.org/officeDocument/2006/relationships/hyperlink" Target="http://static.cninfo.com.cn/finalpage/2026-08-01/1225452128.PDF" TargetMode="External"/><Relationship Id="rId36" Type="http://schemas.openxmlformats.org/officeDocument/2006/relationships/hyperlink" Target="http://static.cninfo.com.cn/finalpage/2026-08-01/1225452126.PDF" TargetMode="External"/><Relationship Id="rId37" Type="http://schemas.openxmlformats.org/officeDocument/2006/relationships/hyperlink" Target="http://static.cninfo.com.cn/finalpage/2026-08-01/1225452125.PDF" TargetMode="External"/><Relationship Id="rId38" Type="http://schemas.openxmlformats.org/officeDocument/2006/relationships/hyperlink" Target="https://bydrug.pharmcube.com/news/detail/0a9b39b207d50b281e713161212b12b9" TargetMode="External"/><Relationship Id="rId39" Type="http://schemas.openxmlformats.org/officeDocument/2006/relationships/hyperlink" Target="https://bydrug.pharmcube.com/news/detail/8a20a5e26dd1b087d6cf2704cd07962b" TargetMode="External"/><Relationship Id="rId40" Type="http://schemas.openxmlformats.org/officeDocument/2006/relationships/hyperlink" Target="https://bydrug.pharmcube.com/news/detail/c5df65f822684da46815d146fcce669b" TargetMode="External"/><Relationship Id="rId41" Type="http://schemas.openxmlformats.org/officeDocument/2006/relationships/hyperlink" Target="https://bydrug.pharmcube.com/news/detail/4ca12113289404572c59be47ef25c3ff" TargetMode="External"/><Relationship Id="rId42" Type="http://schemas.openxmlformats.org/officeDocument/2006/relationships/hyperlink" Target="https://bydrug.pharmcube.com/news/detail/55c1e37234679e2c2a836159b579c975" TargetMode="External"/><Relationship Id="rId43" Type="http://schemas.openxmlformats.org/officeDocument/2006/relationships/hyperlink" Target="https://bydrug.pharmcube.com/news/detail/144a7d39da6ea65dbbe9bc07aeb202f1" TargetMode="External"/><Relationship Id="rId44" Type="http://schemas.openxmlformats.org/officeDocument/2006/relationships/hyperlink" Target="https://bydrug.pharmcube.com/news/detail/16e8d308374c8979b366a0579647008a" TargetMode="External"/><Relationship Id="rId45" Type="http://schemas.openxmlformats.org/officeDocument/2006/relationships/hyperlink" Target="https://bydrug.pharmcube.com/news/detail/2f5d3c1f2c24b6eae903c5ef7d3d2422" TargetMode="External"/><Relationship Id="rId46" Type="http://schemas.openxmlformats.org/officeDocument/2006/relationships/hyperlink" Target="https://bydrug.pharmcube.com/news/detail/131e3c2ca05b83508f53b8dba0c4f919" TargetMode="External"/></Relationships>
</file>