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Top 17 CRO 行业动态主题周报 —— 2026-08-24</w:t>
      </w:r>
    </w:p>
    <w:p>
      <w:r>
        <w:rPr>
          <w:b/>
        </w:rPr>
        <w:t xml:space="preserve">监测对象</w:t>
      </w:r>
      <w:r>
        <w:t xml:space="preserve">：海外（7 家）——IQVIA、ICON、Fortrea、Medpace、Parexel、PSI、Syneos Health；国内（10 家）——康龙化成、药明康德、普蕊斯、斯丹姆、博济医药、诺思格、昆翎、海金格、缔脉（康缔亚）、思睦瑞科</w:t>
      </w:r>
    </w:p>
    <w:p>
      <w:r>
        <w:rPr>
          <w:b/>
        </w:rPr>
        <w:t xml:space="preserve">数据窗口</w:t>
      </w:r>
      <w:r>
        <w:t xml:space="preserve">：2026-08-17 至 2026-08-24（上周一至今，含首尾）；仅收录发布日期落于窗口内、且上次报告未收录过的新增动态，窗口外与历史已收录条目不重复收录。</w:t>
      </w:r>
    </w:p>
    <w:p>
      <w:r>
        <w:rPr>
          <w:b/>
        </w:rPr>
        <w:t xml:space="preserve">本期看点</w:t>
      </w:r>
      <w:r>
        <w:t xml:space="preserve">：战略合作（2 条）与资本与财务动态（1 条）为记录最集中的两个方向；海外 7 家合计 2 条、国内 10 家合计 3 条，博济医药（2 条）记录量居首；本周窗口共收录 5 条，来自 博济医药、普蕊斯、Syneos Health、ICON。</w:t>
      </w:r>
    </w:p>
    <w:p>
      <w:pPr>
        <w:pStyle w:val="Heading2"/>
      </w:pPr>
      <w:r>
        <w:t xml:space="preserve">🤝 ① 战略合作</w:t>
      </w:r>
    </w:p>
    <w:p>
      <w:r>
        <w:rPr>
          <w:b/>
        </w:rPr>
        <w:t xml:space="preserve">主线：</w:t>
      </w:r>
      <w:r>
        <w:t xml:space="preserve">国内外合作路径分化——博济医药 以“助力获批”项目合作为主</w:t>
      </w:r>
    </w:p>
    <w:p>
      <w:pPr>
        <w:pStyle w:val="Heading3"/>
      </w:pPr>
      <w:r>
        <w:t xml:space="preserve">1.1 海外 CRO 动态</w:t>
      </w:r>
    </w:p>
    <w:p>
      <w:r>
        <w:t xml:space="preserve">本周暂无海外相关动态。</w:t>
      </w:r>
    </w:p>
    <w:p>
      <w:pPr>
        <w:pStyle w:val="Heading3"/>
      </w:pPr>
      <w:r>
        <w:t xml:space="preserve">1.2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2">
        <w:r>
          <w:rPr>
            <w:color w:val="0563C1"/>
            <w:u w:val="single"/>
          </w:rPr>
          <w:t xml:space="preserve">助力客户连斩新药批件</w:t>
        </w:r>
      </w:hyperlink>
      <w:r>
        <w:t xml:space="preserve">｜2026-08-19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3">
        <w:r>
          <w:rPr>
            <w:color w:val="0563C1"/>
            <w:u w:val="single"/>
          </w:rPr>
          <w:t xml:space="preserve">助力关键性Ⅲ期临床研究</w:t>
        </w:r>
      </w:hyperlink>
      <w:r>
        <w:t xml:space="preserve">｜2026-08-17</w:t>
      </w:r>
    </w:p>
    <w:p>
      <w:pPr>
        <w:pStyle w:val="Heading2"/>
      </w:pPr>
      <w:r>
        <w:t xml:space="preserve">💰 ② 资本与财务动态</w:t>
      </w:r>
    </w:p>
    <w:p>
      <w:r>
        <w:rPr>
          <w:b/>
        </w:rPr>
        <w:t xml:space="preserve">主线：</w:t>
      </w:r>
      <w:r>
        <w:t xml:space="preserve">财报季分化明显：Medpace 增速领跑，Fortrea 收入下滑但上调指引，ICON 增长近停滞；国内：康龙化成 2026年半年度报告；普蕊斯 公司股东减持股份预披露</w:t>
      </w:r>
    </w:p>
    <w:p>
      <w:pPr>
        <w:pStyle w:val="Heading3"/>
      </w:pPr>
      <w:r>
        <w:t xml:space="preserve">2.1 海外 CRO 动态</w:t>
      </w:r>
    </w:p>
    <w:p>
      <w:pPr>
        <w:pStyle w:val="Heading3"/>
      </w:pPr>
      <w:r>
        <w:t xml:space="preserve">2.1.1 季度业绩对比</w:t>
      </w:r>
    </w:p>
    <w:p>
      <w:r>
        <w:rPr>
          <w:b/>
        </w:rPr>
        <w:t xml:space="preserve">季度业绩对比总结</w:t>
      </w:r>
      <w:r>
        <w:t xml:space="preserve">：海外 4 家上市 CRO 最新季报收入增速 -4.5% ~ +17.2%，Medpace 领跑、Fortrea 暂居末位；Parexel、PSI、Syneos Health 已私有化，不再公开季度财务数据；国内最近业绩披露：康龙化成《2026年半年度报告》（08-21）、普蕊斯《一图读懂| 普蕊斯2025年年度》（04-29）、药明康德《药明康德中期业绩：上半年收入18》（08-02）。</w:t>
      </w:r>
    </w:p>
    <w:p>
      <w:r>
        <w:t xml:space="preserve">*本周窗口内无海外新发布财报，季度数据较上期无变化，明细对比表与附件直链本期略去（有新增时自动恢复展示）。*</w:t>
      </w:r>
    </w:p>
    <w:p>
      <w:pPr>
        <w:pStyle w:val="Heading3"/>
      </w:pPr>
      <w:r>
        <w:t xml:space="preserve">2.1.2 行业趋势观察</w:t>
      </w:r>
    </w:p>
    <w:p>
      <w:r>
        <w:t xml:space="preserve">四家上市 CRO 二季度业绩明显分化：Medpace 收入同比 +17.2%、净新签订单 +28.2%，增速领跑；IQVIA +8.7%，利润率同步改善；Fortrea -4.5%（过路人成本与 FSP 重定价拖累），但 book-to-bill 回升至 1.12x 并上调全年展望；ICON 仅 +1.2%，增长接近停滞。中型专注型 CRO 弹性高于头部全服务企业；IQVIA、Medpace、Fortrea 均上调全年指引，订单转化节奏是共性关注点。Parexel、PSI、Syneos 已私有化，无公开可比数据。</w:t>
      </w:r>
    </w:p>
    <w:p>
      <w:pPr>
        <w:pStyle w:val="Heading3"/>
      </w:pPr>
      <w:r>
        <w:t xml:space="preserve">2.2 国内 CRO 动态</w:t>
      </w:r>
    </w:p>
    <w:p>
      <w:r>
        <w:rPr>
          <w:b/>
        </w:rPr>
        <w:t xml:space="preserve">本周窗口内新发布财报</w:t>
      </w:r>
      <w:r>
        <w:t xml:space="preserve">（1 份）：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康龙化成</w:t>
      </w:r>
      <w:r>
        <w:t xml:space="preserve"> </w:t>
      </w:r>
      <w:hyperlink r:id="rId4">
        <w:r>
          <w:rPr>
            <w:color w:val="0563C1"/>
            <w:u w:val="single"/>
          </w:rPr>
          <w:t xml:space="preserve">2026年半年度报告</w:t>
        </w:r>
      </w:hyperlink>
      <w:r>
        <w:t xml:space="preserve">｜2026-08-21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5">
        <w:r>
          <w:rPr>
            <w:color w:val="0563C1"/>
            <w:u w:val="single"/>
          </w:rPr>
          <w:t xml:space="preserve">公司股东减持股份预披露</w:t>
        </w:r>
      </w:hyperlink>
      <w:r>
        <w:t xml:space="preserve">｜2026-08-24</w:t>
      </w:r>
    </w:p>
    <w:p>
      <w:pPr>
        <w:pStyle w:val="Heading2"/>
      </w:pPr>
      <w:r>
        <w:t xml:space="preserve">🤖 ③ 数字技术与AI</w:t>
      </w:r>
    </w:p>
    <w:p>
      <w:r>
        <w:rPr>
          <w:b/>
        </w:rPr>
        <w:t xml:space="preserve">主线：</w:t>
      </w:r>
      <w:r>
        <w:t xml:space="preserve">AI 从单点试点走向平台化与生态绑定——Syneos Health 推进AI能力建设</w:t>
      </w:r>
    </w:p>
    <w:p>
      <w:pPr>
        <w:pStyle w:val="Heading3"/>
      </w:pPr>
      <w:r>
        <w:t xml:space="preserve">3.1 海外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6">
        <w:r>
          <w:rPr>
            <w:color w:val="0563C1"/>
            <w:u w:val="single"/>
          </w:rPr>
          <w:t xml:space="preserve">推进AI能力建设</w:t>
        </w:r>
      </w:hyperlink>
      <w:r>
        <w:t xml:space="preserve">｜2026-08-18</w:t>
      </w:r>
    </w:p>
    <w:p>
      <w:pPr>
        <w:pStyle w:val="Heading3"/>
      </w:pPr>
      <w:r>
        <w:t xml:space="preserve">3.2 国内 CRO 动态</w:t>
      </w:r>
    </w:p>
    <w:p>
      <w:r>
        <w:t xml:space="preserve">本周暂无国内相关动态。</w:t>
      </w:r>
    </w:p>
    <w:p>
      <w:pPr>
        <w:pStyle w:val="Heading2"/>
      </w:pPr>
      <w:r>
        <w:t xml:space="preserve">🌍 ④ 业务发展</w:t>
      </w:r>
    </w:p>
    <w:p>
      <w:r>
        <w:rPr>
          <w:b/>
        </w:rPr>
        <w:t xml:space="preserve">主线：</w:t>
      </w:r>
      <w:r>
        <w:t xml:space="preserve">本周暂无相关动态。</w:t>
      </w:r>
    </w:p>
    <w:p>
      <w:r>
        <w:t xml:space="preserve">本周暂无相关动态。</w:t>
      </w:r>
    </w:p>
    <w:p>
      <w:pPr>
        <w:pStyle w:val="Heading2"/>
      </w:pPr>
      <w:r>
        <w:t xml:space="preserve">🏗 ⑤ 资产整合与市场融资</w:t>
      </w:r>
    </w:p>
    <w:p>
      <w:r>
        <w:rPr>
          <w:b/>
        </w:rPr>
        <w:t xml:space="preserve">主线：</w:t>
      </w:r>
      <w:r>
        <w:t xml:space="preserve">本周暂无相关动态。</w:t>
      </w:r>
    </w:p>
    <w:p>
      <w:r>
        <w:t xml:space="preserve">本周暂无相关动态。</w:t>
      </w:r>
    </w:p>
    <w:p>
      <w:pPr>
        <w:pStyle w:val="Heading2"/>
      </w:pPr>
      <w:r>
        <w:t xml:space="preserve">👥 ⑥ 核心团队调整</w:t>
      </w:r>
    </w:p>
    <w:p>
      <w:r>
        <w:rPr>
          <w:b/>
        </w:rPr>
        <w:t xml:space="preserve">主线：</w:t>
      </w:r>
      <w:r>
        <w:t xml:space="preserve">本周暂无相关动态。</w:t>
      </w:r>
    </w:p>
    <w:p>
      <w:r>
        <w:t xml:space="preserve">本周暂无相关动态。</w:t>
      </w:r>
    </w:p>
    <w:p>
      <w:pPr>
        <w:pStyle w:val="Heading2"/>
      </w:pPr>
      <w:r>
        <w:t xml:space="preserve">📌 ⑦ 其他动态</w:t>
      </w:r>
    </w:p>
    <w:p>
      <w:r>
        <w:rPr>
          <w:b/>
        </w:rPr>
        <w:t xml:space="preserve">主线：</w:t>
      </w:r>
      <w:r>
        <w:t xml:space="preserve">产品获批与品牌活动交织——ICON 发布社会责任报告</w:t>
      </w:r>
    </w:p>
    <w:p>
      <w:pPr>
        <w:pStyle w:val="Heading3"/>
      </w:pPr>
      <w:r>
        <w:t xml:space="preserve">7.1 海外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7">
        <w:r>
          <w:rPr>
            <w:color w:val="0563C1"/>
            <w:u w:val="single"/>
          </w:rPr>
          <w:t xml:space="preserve">发布社会责任报告</w:t>
        </w:r>
      </w:hyperlink>
      <w:r>
        <w:t xml:space="preserve">｜2026-08-20</w:t>
      </w:r>
    </w:p>
    <w:p>
      <w:pPr>
        <w:pStyle w:val="Heading3"/>
      </w:pPr>
      <w:r>
        <w:t xml:space="preserve">7.2 国内 CRO 动态</w:t>
      </w:r>
    </w:p>
    <w:p>
      <w:r>
        <w:t xml:space="preserve">本周暂无国内相关动态。</w:t>
      </w:r>
    </w:p>
    <w:p>
      <w:pPr>
        <w:pStyle w:val="Heading2"/>
      </w:pPr>
      <w:r>
        <w:t xml:space="preserve">编者观察</w:t>
      </w:r>
    </w:p>
    <w:p>
      <w:pPr>
        <w:ind w:left="360"/>
      </w:pPr>
      <w:r>
        <w:t xml:space="preserve">1. </w:t>
      </w:r>
      <w:r>
        <w:rPr>
          <w:b/>
        </w:rPr>
        <w:t xml:space="preserve">主题集中：</w:t>
      </w:r>
      <w:r>
        <w:t xml:space="preserve">战略合作、资本与财务动态两类合计 3 条，约占全部记录的 60%，为记录最集中的方向。</w:t>
      </w:r>
    </w:p>
    <w:p>
      <w:pPr>
        <w:ind w:left="360"/>
      </w:pPr>
      <w:r>
        <w:t xml:space="preserve">2. </w:t>
      </w:r>
      <w:r>
        <w:rPr>
          <w:b/>
        </w:rPr>
        <w:t xml:space="preserve">主体格局：</w:t>
      </w:r>
      <w:r>
        <w:t xml:space="preserve">海外 7 家合计 2 条、国内 10 家合计 3 条；博济医药（2 条）记录量居首。</w:t>
      </w:r>
    </w:p>
    <w:p>
      <w:pPr>
        <w:ind w:left="360"/>
      </w:pPr>
      <w:r>
        <w:t xml:space="preserve">3. </w:t>
      </w:r>
      <w:r>
        <w:rPr>
          <w:b/>
        </w:rPr>
        <w:t xml:space="preserve">时间结构：</w:t>
      </w:r>
      <w:r>
        <w:t xml:space="preserve">本周窗口（2026-08-17 至 2026-08-24）共收录 5 条（来自 博济医药、普蕊斯、Syneos Health、ICON）</w:t>
      </w:r>
    </w:p>
    <w:p>
      <w:pPr>
        <w:ind w:left="360"/>
      </w:pPr>
      <w:r>
        <w:t xml:space="preserve">4. </w:t>
      </w:r>
      <w:r>
        <w:rPr>
          <w:b/>
        </w:rPr>
        <w:t xml:space="preserve">值得关注的下个节点：</w:t>
      </w:r>
      <w:r>
        <w:t xml:space="preserve">快照内无已排期的未来投资者活动；下期周报 2026-08-31（周一）09:30 自动生成。</w:t>
      </w:r>
    </w:p>
    <w:p>
      <w:pPr>
        <w:pStyle w:val="Heading2"/>
      </w:pPr>
      <w:r>
        <w:t xml:space="preserve">数据来源与生成日期</w:t>
      </w:r>
    </w:p>
    <w:p>
      <w:pPr>
        <w:ind w:left="360" w:hanging="360"/>
      </w:pPr>
      <w:r>
        <w:t xml:space="preserve">• </w:t>
      </w:r>
      <w:r>
        <w:t xml:space="preserve">数据来源：各公司官网新闻栏目与投资者关系栏目、医药魔方 ByDrug 标签页（两套监控自动采集）</w:t>
      </w:r>
    </w:p>
    <w:p>
      <w:pPr>
        <w:ind w:left="360" w:hanging="360"/>
      </w:pPr>
      <w:r>
        <w:t xml:space="preserve">• </w:t>
      </w:r>
      <w:r>
        <w:t xml:space="preserve">海外快照：2026-08-24T09:35:54（Top 7 CRO Weekly Monitor）｜国内快照：2026-08-24T09:37:50（CN CRO Weekly Monitor）</w:t>
      </w:r>
    </w:p>
    <w:p>
      <w:pPr>
        <w:ind w:left="360" w:hanging="360"/>
      </w:pPr>
      <w:r>
        <w:t xml:space="preserve">• </w:t>
      </w:r>
      <w:r>
        <w:t xml:space="preserve">生成日期：2026-08-24；由两份快照离线合并生成（不联网）</w:t>
      </w:r>
    </w:p>
    <w:p>
      <w:pPr>
        <w:ind w:left="360" w:hanging="360"/>
      </w:pPr>
      <w:r>
        <w:t xml:space="preserve">• </w:t>
      </w:r>
      <w:r>
        <w:t xml:space="preserve">范围说明：仅收录发布日期落于本周窗口（上周一至今，含首尾）内、且上次报告未收录过的新增动态，窗口外与历史已收录条目不重复收录（数据采集仅每周一执行，窗口前移一天以覆盖上周一发布、本周才抓到的条目，靠跨报告 URL 比对去重）；康龙化成、药明康德业务线较宽（实验室服务/CDMO/安评/大分子等），本报告仅收录其</w:t>
      </w:r>
      <w:r>
        <w:rPr>
          <w:b/>
        </w:rPr>
        <w:t xml:space="preserve">临床 CRO 服务</w:t>
      </w:r>
      <w:r>
        <w:t xml:space="preserve">相关动态（按标题关键词过滤，快照数据仍全量采集）；</w:t>
      </w:r>
    </w:p>
    <w:p>
      <w:pPr>
        <w:ind w:left="360" w:hanging="360"/>
      </w:pPr>
      <w:r>
        <w:t xml:space="preserve">• </w:t>
      </w:r>
      <w:r>
        <w:t xml:space="preserve">归类说明：七类按关键词优先级匹配（判序：数字技术与AI→业务发展→核心团队调整→资产整合与市场融资→资本与财务动态→战略合作，未命中归其他动态；展示顺序：战略合作→资本与财务动态→数字技术与AI→业务发展→核心团队调整→其他动态→资产整合与市场融资）；各模块条目设带章节号的小标题「N.1 海外 CRO 动态」「N.2 国内 CRO 动态」（N 为模块序号，海外在前，主线概述为整体研判不分国内外）；条目为公司+概述+日期格式，概述统一为 ≤20 字中文（中文标题子句提取压缩、英文标题规则式生成），点击概述文字跳转原文地址</w:t>
      </w:r>
    </w:p>
    <w:p>
      <w:pPr>
        <w:ind w:left="360" w:hanging="360"/>
      </w:pPr>
      <w:r>
        <w:t xml:space="preserve">• </w:t>
      </w:r>
      <w:r>
        <w:t xml:space="preserve">财报说明：④「季度业绩对比」与「行业趋势观察」数据取自仓库 quarterly-fin.json（人工检索各公司 IR 站 / SEC 披露后维护，检索截至日期见表格脚注）；「资产整合与市场融资」按标题关键词分收购并购 / 产能资本开支 / 回购票据股息三组，其余归「其他财务动态」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zboji.com/news/index.html#boji-733" TargetMode="External"/><Relationship Id="rId3" Type="http://schemas.openxmlformats.org/officeDocument/2006/relationships/hyperlink" Target="https://www.gzboji.com/news/index.html#boji-732" TargetMode="External"/><Relationship Id="rId4" Type="http://schemas.openxmlformats.org/officeDocument/2006/relationships/hyperlink" Target="http://static.cninfo.com.cn/finalpage/2026-08-21/1225487380.PDF" TargetMode="External"/><Relationship Id="rId5" Type="http://schemas.openxmlformats.org/officeDocument/2006/relationships/hyperlink" Target="http://static.cninfo.com.cn/finalpage/2026-08-24/1225491492.PDF" TargetMode="External"/><Relationship Id="rId6" Type="http://schemas.openxmlformats.org/officeDocument/2006/relationships/hyperlink" Target="https://www.syneoshealth.com/news/Syneos-Health-Advances-AI-Powered-Clinical-Ecosystem-to-Optimize-Trial-Performance-and-Speed-Decision-Making" TargetMode="External"/><Relationship Id="rId7" Type="http://schemas.openxmlformats.org/officeDocument/2006/relationships/hyperlink" Target="https://www.iconplc.com/news-events/press-releases/icon-releases-2025-icon-cares-report" TargetMode="External"/></Relationships>
</file>