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FC" w:rsidRDefault="00A45A9B" w:rsidP="00450DED">
      <w:pPr>
        <w:pStyle w:val="INF15-MainTitle"/>
      </w:pPr>
      <w:r>
        <w:t>L</w:t>
      </w:r>
      <w:r w:rsidR="006C4D12">
        <w:t>earning outcomes</w:t>
      </w:r>
      <w:r>
        <w:t xml:space="preserve"> analysis</w:t>
      </w:r>
    </w:p>
    <w:p w:rsidR="006C4D12" w:rsidRDefault="006C4D12" w:rsidP="006C4D12">
      <w:pPr>
        <w:pStyle w:val="INF15-SingleSpace"/>
      </w:pPr>
    </w:p>
    <w:p w:rsidR="004F432C" w:rsidRDefault="004F432C" w:rsidP="006C4D12">
      <w:pPr>
        <w:pStyle w:val="INF15-SingleSpace"/>
      </w:pPr>
    </w:p>
    <w:p w:rsidR="004F432C" w:rsidRDefault="004F432C" w:rsidP="006C4D12">
      <w:pPr>
        <w:pStyle w:val="INF15-SingleSpace"/>
      </w:pPr>
    </w:p>
    <w:p w:rsidR="004F432C" w:rsidRDefault="004F432C" w:rsidP="006C4D12">
      <w:pPr>
        <w:pStyle w:val="INF15-SingleSpace"/>
      </w:pPr>
    </w:p>
    <w:p w:rsidR="004F432C" w:rsidRDefault="004F432C" w:rsidP="006C4D12">
      <w:pPr>
        <w:pStyle w:val="INF15-SingleSpace"/>
      </w:pPr>
    </w:p>
    <w:p w:rsidR="004F432C" w:rsidRDefault="004F432C" w:rsidP="006C4D12">
      <w:pPr>
        <w:pStyle w:val="INF15-SingleSpace"/>
      </w:pPr>
    </w:p>
    <w:p w:rsidR="004F432C" w:rsidRDefault="004F432C" w:rsidP="006C4D12">
      <w:pPr>
        <w:pStyle w:val="INF15-SingleSpace"/>
      </w:pPr>
    </w:p>
    <w:p w:rsidR="006C4D12" w:rsidRDefault="006C4D12" w:rsidP="006C4D12">
      <w:pPr>
        <w:pStyle w:val="INF15-Summary"/>
      </w:pPr>
      <w:r>
        <w:t>Summary</w:t>
      </w:r>
    </w:p>
    <w:p w:rsidR="006C4D12" w:rsidRDefault="006C4D12" w:rsidP="006C4D12">
      <w:pPr>
        <w:pStyle w:val="INF15-SingleSpace"/>
      </w:pPr>
    </w:p>
    <w:p w:rsidR="006C4D12" w:rsidRDefault="006C4D12" w:rsidP="006C4D12">
      <w:pPr>
        <w:pStyle w:val="INF15-SummaryBody"/>
      </w:pPr>
      <w:r>
        <w:t xml:space="preserve">The paper analyses learning outcomes of undergraduate and graduate studies of Faculty of humanities and social Sciences, University of Zagreb, and </w:t>
      </w:r>
      <w:r w:rsidR="00AE4E8C">
        <w:t xml:space="preserve">compares them with </w:t>
      </w:r>
      <w:r>
        <w:t xml:space="preserve">levels of Bloom’s taxonomy. </w:t>
      </w:r>
      <w:r w:rsidR="00AE4E8C">
        <w:t xml:space="preserve">Also, </w:t>
      </w:r>
      <w:r w:rsidR="00DB71E8">
        <w:t xml:space="preserve">the </w:t>
      </w:r>
      <w:r w:rsidR="00AE4E8C">
        <w:t xml:space="preserve">paper analyses </w:t>
      </w:r>
      <w:r w:rsidR="000731C2">
        <w:t xml:space="preserve">the similarities of </w:t>
      </w:r>
      <w:r w:rsidR="00AE4E8C">
        <w:t xml:space="preserve">learning outcomes between </w:t>
      </w:r>
      <w:r w:rsidR="002D253F">
        <w:t xml:space="preserve">different studies </w:t>
      </w:r>
      <w:r w:rsidR="00F4773A">
        <w:t>and courses</w:t>
      </w:r>
      <w:r w:rsidR="00DE647E">
        <w:t xml:space="preserve">, </w:t>
      </w:r>
      <w:r w:rsidR="000731C2">
        <w:t>and identifies</w:t>
      </w:r>
      <w:r w:rsidR="00DE647E">
        <w:t xml:space="preserve"> the most frequent</w:t>
      </w:r>
      <w:r w:rsidR="004F432C">
        <w:t xml:space="preserve"> or core</w:t>
      </w:r>
      <w:r w:rsidR="00DE647E">
        <w:t xml:space="preserve"> learning outcomes</w:t>
      </w:r>
      <w:r w:rsidR="004F432C">
        <w:t>.</w:t>
      </w:r>
    </w:p>
    <w:p w:rsidR="00E46C1B" w:rsidRDefault="00E46C1B" w:rsidP="00E46C1B">
      <w:pPr>
        <w:pStyle w:val="INF15-SingleSpace"/>
      </w:pPr>
    </w:p>
    <w:p w:rsidR="00E46C1B" w:rsidRDefault="00E46C1B" w:rsidP="0042655C">
      <w:pPr>
        <w:pStyle w:val="INF15-KeyWords"/>
      </w:pPr>
      <w:r w:rsidRPr="007E3C34">
        <w:rPr>
          <w:b/>
        </w:rPr>
        <w:t>Key words</w:t>
      </w:r>
      <w:r w:rsidRPr="0042655C">
        <w:t>:</w:t>
      </w:r>
      <w:r w:rsidR="0042655C">
        <w:t xml:space="preserve"> </w:t>
      </w:r>
      <w:r w:rsidR="000731C2">
        <w:t xml:space="preserve">learning outcomes, analysis, correlation, </w:t>
      </w:r>
      <w:r w:rsidR="00F546AA">
        <w:t>similarity</w:t>
      </w:r>
    </w:p>
    <w:p w:rsidR="00282D23" w:rsidRDefault="00282D23" w:rsidP="007E3C34">
      <w:pPr>
        <w:pStyle w:val="INF15-SingleSpace"/>
      </w:pPr>
    </w:p>
    <w:p w:rsidR="007E3C34" w:rsidRDefault="00680BAA" w:rsidP="00680BAA">
      <w:pPr>
        <w:pStyle w:val="INF15-Subtitle1"/>
      </w:pPr>
      <w:r>
        <w:t>Introduction</w:t>
      </w:r>
    </w:p>
    <w:p w:rsidR="009C6584" w:rsidRDefault="001F6345" w:rsidP="001F6345">
      <w:pPr>
        <w:pStyle w:val="INF15-BodyText"/>
      </w:pPr>
      <w:r>
        <w:t>Learning outcomes are the abilities that are expressing what will a student know, understand or be able to achieve after a longer or shorter learning process</w:t>
      </w:r>
      <w:r w:rsidR="009C6584">
        <w:rPr>
          <w:rStyle w:val="FootnoteReference"/>
        </w:rPr>
        <w:footnoteReference w:id="1"/>
      </w:r>
      <w:r>
        <w:t>.</w:t>
      </w:r>
      <w:r w:rsidR="00FB7C25">
        <w:t xml:space="preserve"> </w:t>
      </w:r>
      <w:r w:rsidR="00A81BFF">
        <w:t xml:space="preserve">Outcomes may refer to one level of study, one subject or one module, </w:t>
      </w:r>
      <w:r w:rsidR="0041075B">
        <w:t xml:space="preserve">however, </w:t>
      </w:r>
      <w:r w:rsidR="00A81BFF">
        <w:t xml:space="preserve">they are cumulative </w:t>
      </w:r>
      <w:r w:rsidR="0041075B" w:rsidRPr="0041075B">
        <w:t xml:space="preserve">and </w:t>
      </w:r>
      <w:r w:rsidR="00E41DD6">
        <w:t xml:space="preserve">interconnected </w:t>
      </w:r>
      <w:r w:rsidR="0041075B" w:rsidRPr="0041075B">
        <w:t xml:space="preserve">so that </w:t>
      </w:r>
      <w:r w:rsidR="00FF2E8D">
        <w:t xml:space="preserve">they </w:t>
      </w:r>
      <w:r w:rsidR="0041075B" w:rsidRPr="0041075B">
        <w:t xml:space="preserve">together contribute to the overall learning outcomes of the </w:t>
      </w:r>
      <w:r w:rsidR="00E30753">
        <w:t xml:space="preserve">study </w:t>
      </w:r>
      <w:r w:rsidR="0041075B" w:rsidRPr="0041075B">
        <w:t>program</w:t>
      </w:r>
      <w:r w:rsidR="00C747B7">
        <w:t>.</w:t>
      </w:r>
      <w:r w:rsidR="0035797E">
        <w:t xml:space="preserve"> </w:t>
      </w:r>
      <w:r w:rsidR="009C6584">
        <w:t>Outcomes state the competence</w:t>
      </w:r>
      <w:r w:rsidR="009069E8">
        <w:t>s</w:t>
      </w:r>
      <w:r w:rsidR="009C6584">
        <w:t xml:space="preserve"> of the learning program that </w:t>
      </w:r>
      <w:r w:rsidR="001717D2">
        <w:t xml:space="preserve">can also be used </w:t>
      </w:r>
      <w:r w:rsidR="0062401A">
        <w:t xml:space="preserve">to </w:t>
      </w:r>
      <w:r w:rsidR="00EF604F">
        <w:t xml:space="preserve">correlate it with its </w:t>
      </w:r>
      <w:r w:rsidR="001717D2">
        <w:t>level</w:t>
      </w:r>
      <w:r w:rsidR="00EF604F">
        <w:t xml:space="preserve"> </w:t>
      </w:r>
      <w:r w:rsidR="00EF604F" w:rsidRPr="00EF604F">
        <w:t>in the European Qualifications Framework</w:t>
      </w:r>
      <w:r w:rsidR="00EF604F">
        <w:t>.</w:t>
      </w:r>
    </w:p>
    <w:p w:rsidR="0035797E" w:rsidRDefault="0035797E" w:rsidP="008531FA">
      <w:pPr>
        <w:pStyle w:val="INF15-SingleSpace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4D03F3" w:rsidRDefault="004D03F3" w:rsidP="008531FA">
      <w:pPr>
        <w:pStyle w:val="INF15-Subtitle1"/>
      </w:pPr>
    </w:p>
    <w:p w:rsidR="008531FA" w:rsidRDefault="00E92A2E" w:rsidP="008531FA">
      <w:pPr>
        <w:pStyle w:val="INF15-Subtitle1"/>
      </w:pPr>
      <w:r>
        <w:lastRenderedPageBreak/>
        <w:t>Data acquisition and initial processing</w:t>
      </w:r>
    </w:p>
    <w:p w:rsidR="008531FA" w:rsidRDefault="008531FA" w:rsidP="008531FA">
      <w:pPr>
        <w:pStyle w:val="INF15-SingleSpace"/>
      </w:pPr>
    </w:p>
    <w:p w:rsidR="00AE48AF" w:rsidRDefault="00191229" w:rsidP="008531FA">
      <w:pPr>
        <w:pStyle w:val="INF15-BodyText"/>
      </w:pPr>
      <w:r>
        <w:t xml:space="preserve">The first step of research is </w:t>
      </w:r>
      <w:r w:rsidR="00636E58">
        <w:t>acquisition of study programs learning outcomes</w:t>
      </w:r>
      <w:r w:rsidR="0075515C">
        <w:t xml:space="preserve">, which was made </w:t>
      </w:r>
      <w:r w:rsidR="00636E58">
        <w:t xml:space="preserve">during the </w:t>
      </w:r>
      <w:r w:rsidR="00F86226">
        <w:t xml:space="preserve">faculty’s </w:t>
      </w:r>
      <w:r w:rsidR="00F86226" w:rsidRPr="00F86226">
        <w:t>accreditation</w:t>
      </w:r>
      <w:r w:rsidR="00F86226">
        <w:t xml:space="preserve"> process.</w:t>
      </w:r>
      <w:r>
        <w:t xml:space="preserve"> </w:t>
      </w:r>
      <w:r w:rsidR="007F4F85">
        <w:t>Learning outcomes were</w:t>
      </w:r>
      <w:r w:rsidR="006F54B9">
        <w:t xml:space="preserve"> collected for each study</w:t>
      </w:r>
      <w:r w:rsidR="00B528CF">
        <w:t xml:space="preserve"> </w:t>
      </w:r>
      <w:r w:rsidR="00F66B6E">
        <w:t>course</w:t>
      </w:r>
      <w:r w:rsidR="006F54B9">
        <w:t xml:space="preserve"> separately using a web application, and</w:t>
      </w:r>
      <w:r w:rsidR="007F4F85">
        <w:t xml:space="preserve"> entered into the database. </w:t>
      </w:r>
      <w:r w:rsidR="004D03F3">
        <w:t>From total of 138 study programs, there were 16 programs that had no associated learning outcomes and were not taken into further analysis.</w:t>
      </w:r>
      <w:r w:rsidR="00EA52FB">
        <w:t xml:space="preserve"> </w:t>
      </w:r>
    </w:p>
    <w:p w:rsidR="000F3CD4" w:rsidRPr="006C16E6" w:rsidRDefault="007C6F6D" w:rsidP="008531FA">
      <w:pPr>
        <w:pStyle w:val="INF15-BodyText"/>
      </w:pPr>
      <w:r>
        <w:t xml:space="preserve">Table 1 shows the number of single and double major studies in each level of study. </w:t>
      </w:r>
      <w:r w:rsidR="000F3CD4">
        <w:t>I</w:t>
      </w:r>
      <w:r w:rsidR="00EA52FB">
        <w:t xml:space="preserve">t can be seen </w:t>
      </w:r>
      <w:r w:rsidR="000F3CD4">
        <w:t>that</w:t>
      </w:r>
      <w:r w:rsidR="00EA52FB">
        <w:t xml:space="preserve"> </w:t>
      </w:r>
      <w:r w:rsidR="00E44169">
        <w:t>double major studies</w:t>
      </w:r>
      <w:r w:rsidR="00031362">
        <w:t xml:space="preserve"> </w:t>
      </w:r>
      <w:r w:rsidR="009059F5">
        <w:t>(</w:t>
      </w:r>
      <w:r w:rsidR="00031362">
        <w:t>or courses</w:t>
      </w:r>
      <w:r w:rsidR="009059F5">
        <w:t>)</w:t>
      </w:r>
      <w:r w:rsidR="00E44169">
        <w:t xml:space="preserve"> form little less than 75%</w:t>
      </w:r>
      <w:r w:rsidR="00EA52FB">
        <w:t xml:space="preserve"> </w:t>
      </w:r>
      <w:r w:rsidR="000F3CD4">
        <w:t xml:space="preserve">(90) and that graduate studies form almost </w:t>
      </w:r>
      <w:r w:rsidR="00683812">
        <w:t xml:space="preserve">66% (80) of all studies. </w:t>
      </w:r>
      <w:r w:rsidR="006C16E6">
        <w:t xml:space="preserve">The only integral study (undergraduate and graduate) is </w:t>
      </w:r>
      <w:r w:rsidR="006C16E6" w:rsidRPr="000A33B6">
        <w:t>History and Geography</w:t>
      </w:r>
      <w:r w:rsidR="006C16E6">
        <w:t xml:space="preserve"> that has no double major variant. </w:t>
      </w:r>
      <w:r w:rsidR="00781FD5">
        <w:t>T</w:t>
      </w:r>
      <w:r w:rsidR="00651F7B">
        <w:t xml:space="preserve">his paper </w:t>
      </w:r>
      <w:r w:rsidR="00502326">
        <w:t>observes</w:t>
      </w:r>
      <w:r w:rsidR="00651F7B">
        <w:t xml:space="preserve"> </w:t>
      </w:r>
      <w:r w:rsidR="0011261D">
        <w:t xml:space="preserve">various </w:t>
      </w:r>
      <w:r w:rsidR="003132AE">
        <w:t xml:space="preserve">differences between </w:t>
      </w:r>
      <w:r w:rsidR="007426FE">
        <w:t>levels of study programs</w:t>
      </w:r>
      <w:r w:rsidR="00484F9A">
        <w:t>, and because the number of integral studies</w:t>
      </w:r>
      <w:r w:rsidR="007426FE">
        <w:t xml:space="preserve"> </w:t>
      </w:r>
      <w:r w:rsidR="00484F9A">
        <w:t>is inadequate</w:t>
      </w:r>
      <w:r w:rsidR="0012319D">
        <w:t xml:space="preserve"> for quality analysis</w:t>
      </w:r>
      <w:r w:rsidR="006275DD">
        <w:t xml:space="preserve">, History and Geography is </w:t>
      </w:r>
      <w:r w:rsidR="00262E1A">
        <w:t>also omitted from</w:t>
      </w:r>
      <w:r w:rsidR="006275DD">
        <w:t xml:space="preserve"> analysis.</w:t>
      </w:r>
      <w:r w:rsidR="00167B72">
        <w:t xml:space="preserve"> </w:t>
      </w:r>
      <w:r w:rsidR="00935A3C">
        <w:t>In other words, the research is based on total number of 121 study programs.</w:t>
      </w:r>
    </w:p>
    <w:p w:rsidR="00811BE3" w:rsidRDefault="00811BE3" w:rsidP="008531FA">
      <w:pPr>
        <w:pStyle w:val="INF15-BodyText"/>
      </w:pPr>
    </w:p>
    <w:p w:rsidR="00D84593" w:rsidRDefault="00D84593" w:rsidP="00A2782F">
      <w:pPr>
        <w:pStyle w:val="INF15-BodyText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C2685">
        <w:rPr>
          <w:noProof/>
        </w:rPr>
        <w:t>1</w:t>
      </w:r>
      <w:r>
        <w:fldChar w:fldCharType="end"/>
      </w:r>
      <w:r>
        <w:t xml:space="preserve">: </w:t>
      </w:r>
      <w:r w:rsidR="006848AD">
        <w:t>The s</w:t>
      </w:r>
      <w:r>
        <w:t>tructure of study programs</w:t>
      </w:r>
    </w:p>
    <w:tbl>
      <w:tblPr>
        <w:tblW w:w="5780" w:type="dxa"/>
        <w:jc w:val="center"/>
        <w:tblCellMar>
          <w:right w:w="170" w:type="dxa"/>
        </w:tblCellMar>
        <w:tblLook w:val="0600" w:firstRow="0" w:lastRow="0" w:firstColumn="0" w:lastColumn="0" w:noHBand="1" w:noVBand="1"/>
      </w:tblPr>
      <w:tblGrid>
        <w:gridCol w:w="1380"/>
        <w:gridCol w:w="1520"/>
        <w:gridCol w:w="1018"/>
        <w:gridCol w:w="960"/>
        <w:gridCol w:w="960"/>
      </w:tblGrid>
      <w:tr w:rsidR="00811BE3" w:rsidRPr="00811BE3" w:rsidTr="008414C4">
        <w:trPr>
          <w:trHeight w:val="300"/>
          <w:jc w:val="center"/>
        </w:trPr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755023" w:rsidRDefault="00811BE3" w:rsidP="00CC084B">
            <w:pPr>
              <w:pStyle w:val="INF15-TableText"/>
              <w:jc w:val="center"/>
              <w:rPr>
                <w:b/>
              </w:rPr>
            </w:pPr>
            <w:r w:rsidRPr="00755023">
              <w:rPr>
                <w:b/>
              </w:rPr>
              <w:t>Undergraduate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755023" w:rsidRDefault="00811BE3" w:rsidP="00CC084B">
            <w:pPr>
              <w:pStyle w:val="INF15-TableText"/>
              <w:jc w:val="center"/>
              <w:rPr>
                <w:b/>
              </w:rPr>
            </w:pPr>
            <w:r w:rsidRPr="00755023">
              <w:rPr>
                <w:b/>
              </w:rPr>
              <w:t>Graduate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755023" w:rsidRDefault="00811BE3" w:rsidP="00CC084B">
            <w:pPr>
              <w:pStyle w:val="INF15-TableText"/>
              <w:jc w:val="center"/>
              <w:rPr>
                <w:b/>
              </w:rPr>
            </w:pPr>
            <w:r w:rsidRPr="00755023">
              <w:rPr>
                <w:b/>
              </w:rPr>
              <w:t>Integral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755023" w:rsidRDefault="00811BE3" w:rsidP="00CC084B">
            <w:pPr>
              <w:pStyle w:val="INF15-TableText"/>
              <w:jc w:val="center"/>
              <w:rPr>
                <w:b/>
              </w:rPr>
            </w:pPr>
            <w:r w:rsidRPr="00755023">
              <w:rPr>
                <w:b/>
              </w:rPr>
              <w:t>Total</w:t>
            </w:r>
          </w:p>
        </w:tc>
      </w:tr>
      <w:tr w:rsidR="00811BE3" w:rsidRPr="00811BE3" w:rsidTr="008414C4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BE3" w:rsidRPr="00755023" w:rsidRDefault="00811BE3" w:rsidP="00CC084B">
            <w:pPr>
              <w:pStyle w:val="INF15-TableText"/>
              <w:jc w:val="center"/>
              <w:rPr>
                <w:b/>
              </w:rPr>
            </w:pPr>
            <w:r w:rsidRPr="00755023">
              <w:rPr>
                <w:b/>
              </w:rPr>
              <w:t>Single major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  <w:r w:rsidRPr="00811BE3"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  <w:r w:rsidRPr="00811BE3"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  <w:r w:rsidRPr="00811BE3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8414C4">
            <w:pPr>
              <w:pStyle w:val="INF15-TableText"/>
              <w:jc w:val="right"/>
            </w:pPr>
            <w:r w:rsidRPr="00811BE3">
              <w:t>32</w:t>
            </w:r>
          </w:p>
        </w:tc>
      </w:tr>
      <w:tr w:rsidR="00811BE3" w:rsidRPr="00811BE3" w:rsidTr="008414C4">
        <w:trPr>
          <w:trHeight w:val="300"/>
          <w:jc w:val="center"/>
        </w:trPr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BE3" w:rsidRPr="00755023" w:rsidRDefault="00811BE3" w:rsidP="00CC084B">
            <w:pPr>
              <w:pStyle w:val="INF15-TableText"/>
              <w:jc w:val="center"/>
              <w:rPr>
                <w:b/>
              </w:rPr>
            </w:pPr>
            <w:r w:rsidRPr="00755023">
              <w:rPr>
                <w:b/>
              </w:rPr>
              <w:t>Double major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  <w:r w:rsidRPr="00811BE3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  <w:r w:rsidRPr="00811BE3"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BE3" w:rsidRPr="00811BE3" w:rsidRDefault="006C16E6" w:rsidP="00CC084B">
            <w:pPr>
              <w:pStyle w:val="INF15-TableText"/>
              <w:jc w:val="center"/>
            </w:pPr>
            <w: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8414C4">
            <w:pPr>
              <w:pStyle w:val="INF15-TableText"/>
              <w:jc w:val="right"/>
            </w:pPr>
            <w:r w:rsidRPr="00811BE3">
              <w:t>90</w:t>
            </w:r>
          </w:p>
        </w:tc>
      </w:tr>
      <w:tr w:rsidR="00811BE3" w:rsidRPr="00811BE3" w:rsidTr="008414C4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BE3" w:rsidRPr="00755023" w:rsidRDefault="00811BE3" w:rsidP="00CC084B">
            <w:pPr>
              <w:pStyle w:val="INF15-TableText"/>
              <w:jc w:val="center"/>
              <w:rPr>
                <w:b/>
              </w:rPr>
            </w:pPr>
            <w:r w:rsidRPr="00755023">
              <w:rPr>
                <w:b/>
              </w:rPr>
              <w:t>Total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  <w:r w:rsidRPr="00811BE3"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  <w:r w:rsidRPr="00811BE3"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CC084B">
            <w:pPr>
              <w:pStyle w:val="INF15-TableText"/>
              <w:jc w:val="center"/>
            </w:pPr>
            <w:r w:rsidRPr="00811BE3"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BE3" w:rsidRPr="00811BE3" w:rsidRDefault="00811BE3" w:rsidP="008414C4">
            <w:pPr>
              <w:pStyle w:val="INF15-TableText"/>
              <w:jc w:val="right"/>
            </w:pPr>
            <w:r w:rsidRPr="00811BE3">
              <w:t>122</w:t>
            </w:r>
          </w:p>
        </w:tc>
      </w:tr>
    </w:tbl>
    <w:p w:rsidR="0035797E" w:rsidRDefault="0035797E" w:rsidP="00536113">
      <w:pPr>
        <w:pStyle w:val="INF15-SingleSpace"/>
      </w:pPr>
    </w:p>
    <w:p w:rsidR="00C747B7" w:rsidRDefault="00D904AD" w:rsidP="001F6345">
      <w:pPr>
        <w:pStyle w:val="INF15-BodyText"/>
      </w:pPr>
      <w:r>
        <w:t xml:space="preserve">The second step is acquisition of </w:t>
      </w:r>
      <w:r w:rsidR="00332C9B">
        <w:t>Bloom</w:t>
      </w:r>
      <w:r>
        <w:t xml:space="preserve"> taxonomy </w:t>
      </w:r>
      <w:r w:rsidR="00285726">
        <w:t xml:space="preserve">action verbs. The action verbs were collected from different internet sources, manuals and literature. They </w:t>
      </w:r>
      <w:r w:rsidR="001B4438">
        <w:t xml:space="preserve">were also loaded into the database and associated with one of the </w:t>
      </w:r>
      <w:r w:rsidR="00703948">
        <w:t xml:space="preserve">levels in their </w:t>
      </w:r>
      <w:r w:rsidR="001B4438">
        <w:t>learning domains</w:t>
      </w:r>
      <w:r w:rsidR="008402C4">
        <w:t>:</w:t>
      </w:r>
      <w:r w:rsidR="001B4438">
        <w:t xml:space="preserve"> cognitive, affective </w:t>
      </w:r>
      <w:r w:rsidR="008402C4">
        <w:t xml:space="preserve">or </w:t>
      </w:r>
      <w:r w:rsidR="001B4438">
        <w:t>psychomotor.</w:t>
      </w:r>
      <w:r w:rsidR="00D929A0">
        <w:t xml:space="preserve"> </w:t>
      </w:r>
      <w:r w:rsidR="0051355F">
        <w:t xml:space="preserve">Each level </w:t>
      </w:r>
      <w:r w:rsidR="00B11BD7">
        <w:t xml:space="preserve">was assigned a value </w:t>
      </w:r>
      <w:r w:rsidR="00AB5DFF">
        <w:t xml:space="preserve">that </w:t>
      </w:r>
      <w:r w:rsidR="00262B86">
        <w:t xml:space="preserve">is used in </w:t>
      </w:r>
      <w:r w:rsidR="005159C2">
        <w:t xml:space="preserve">later </w:t>
      </w:r>
      <w:r w:rsidR="00262B86">
        <w:t>analysis</w:t>
      </w:r>
      <w:r w:rsidR="005159C2">
        <w:t xml:space="preserve"> for calculating the value of learning outcome</w:t>
      </w:r>
      <w:r w:rsidR="00F37237">
        <w:t>s</w:t>
      </w:r>
      <w:r w:rsidR="005159C2">
        <w:t>.</w:t>
      </w:r>
    </w:p>
    <w:p w:rsidR="00C04FF2" w:rsidRDefault="00021CEC" w:rsidP="001F6345">
      <w:pPr>
        <w:pStyle w:val="INF15-BodyText"/>
      </w:pPr>
      <w:r>
        <w:t xml:space="preserve">The third step is </w:t>
      </w:r>
      <w:r w:rsidR="00706135">
        <w:t>determination of</w:t>
      </w:r>
      <w:r w:rsidR="00930B62">
        <w:t xml:space="preserve"> </w:t>
      </w:r>
      <w:r w:rsidR="007A5D7A">
        <w:t>relationships</w:t>
      </w:r>
      <w:r w:rsidR="0098269E">
        <w:t xml:space="preserve"> </w:t>
      </w:r>
      <w:r w:rsidR="007A5D7A">
        <w:t xml:space="preserve">between </w:t>
      </w:r>
      <w:r w:rsidR="0098269E">
        <w:t xml:space="preserve">outcomes </w:t>
      </w:r>
      <w:r w:rsidR="007A5D7A">
        <w:t xml:space="preserve">and </w:t>
      </w:r>
      <w:r w:rsidR="0098269E">
        <w:t xml:space="preserve">action verbs. </w:t>
      </w:r>
      <w:r w:rsidR="00F15064">
        <w:t>The m</w:t>
      </w:r>
      <w:r w:rsidR="00CB3DB3">
        <w:t xml:space="preserve">ajority of </w:t>
      </w:r>
      <w:r w:rsidR="00E575A9">
        <w:t xml:space="preserve">learning outcomes are associated with </w:t>
      </w:r>
      <w:r w:rsidR="004516C2">
        <w:t xml:space="preserve">only </w:t>
      </w:r>
      <w:r w:rsidR="00E575A9">
        <w:t>one action verb</w:t>
      </w:r>
      <w:r w:rsidR="006D1F29">
        <w:t xml:space="preserve">, </w:t>
      </w:r>
      <w:r w:rsidR="005159C2">
        <w:t>in which case</w:t>
      </w:r>
      <w:r w:rsidR="00F37237">
        <w:t>,</w:t>
      </w:r>
      <w:r w:rsidR="005159C2">
        <w:t xml:space="preserve"> </w:t>
      </w:r>
      <w:r w:rsidR="00F37237">
        <w:t xml:space="preserve">they were assigned a value of their action verb. For example, </w:t>
      </w:r>
      <w:r w:rsidR="00F447D3">
        <w:t xml:space="preserve">outcome “Analyse the basic concept…” has one action verb, </w:t>
      </w:r>
      <w:r w:rsidR="00F447D3">
        <w:rPr>
          <w:i/>
        </w:rPr>
        <w:t>analyse</w:t>
      </w:r>
      <w:r w:rsidR="00F447D3">
        <w:t>, (cognitive domain, 4</w:t>
      </w:r>
      <w:r w:rsidR="00F447D3" w:rsidRPr="00F447D3">
        <w:rPr>
          <w:vertAlign w:val="superscript"/>
        </w:rPr>
        <w:t>th</w:t>
      </w:r>
      <w:r w:rsidR="00F447D3">
        <w:t xml:space="preserve"> level) and </w:t>
      </w:r>
      <w:r w:rsidR="00A25308">
        <w:t xml:space="preserve">thus </w:t>
      </w:r>
      <w:r w:rsidR="00E636A4">
        <w:t>its</w:t>
      </w:r>
      <w:r w:rsidR="00A25308">
        <w:t xml:space="preserve"> </w:t>
      </w:r>
      <w:r w:rsidR="00D37C71">
        <w:t>assigned</w:t>
      </w:r>
      <w:r w:rsidR="00A25308">
        <w:t xml:space="preserve"> value </w:t>
      </w:r>
      <w:r w:rsidR="00AA7CC7">
        <w:t xml:space="preserve">is </w:t>
      </w:r>
      <w:r w:rsidR="00A25308">
        <w:t>4.</w:t>
      </w:r>
      <w:r w:rsidR="00C04FF2">
        <w:t xml:space="preserve"> </w:t>
      </w:r>
    </w:p>
    <w:p w:rsidR="00926D81" w:rsidRDefault="00C04FF2" w:rsidP="001F6345">
      <w:pPr>
        <w:pStyle w:val="INF15-BodyText"/>
      </w:pPr>
      <w:r>
        <w:t>There were two exceptional cases</w:t>
      </w:r>
      <w:r w:rsidR="000E534E">
        <w:t xml:space="preserve">: </w:t>
      </w:r>
    </w:p>
    <w:p w:rsidR="00926D81" w:rsidRDefault="000E534E" w:rsidP="00926D81">
      <w:pPr>
        <w:pStyle w:val="INF15-BulletedList"/>
      </w:pPr>
      <w:r>
        <w:t>learning outcome contains more than one action verb</w:t>
      </w:r>
      <w:r w:rsidR="000A4FDA">
        <w:t xml:space="preserve">, </w:t>
      </w:r>
      <w:r>
        <w:t xml:space="preserve">e.g. </w:t>
      </w:r>
      <w:r w:rsidRPr="000E534E">
        <w:rPr>
          <w:i/>
        </w:rPr>
        <w:t>define and describe concepts</w:t>
      </w:r>
      <w:r>
        <w:t>…</w:t>
      </w:r>
    </w:p>
    <w:p w:rsidR="000C51F5" w:rsidRDefault="000E534E" w:rsidP="00006999">
      <w:pPr>
        <w:pStyle w:val="INF15-BulletedList"/>
      </w:pPr>
      <w:r>
        <w:t xml:space="preserve">learning outcome contains </w:t>
      </w:r>
      <w:r w:rsidR="00926D81">
        <w:t xml:space="preserve">an </w:t>
      </w:r>
      <w:r>
        <w:t xml:space="preserve">action verb that </w:t>
      </w:r>
      <w:r w:rsidR="00B94E84">
        <w:t xml:space="preserve">exists in </w:t>
      </w:r>
      <w:r w:rsidR="00926D81">
        <w:t xml:space="preserve">more than one </w:t>
      </w:r>
      <w:r w:rsidR="00B94E84">
        <w:t xml:space="preserve">level or </w:t>
      </w:r>
      <w:r w:rsidR="00926D81">
        <w:t xml:space="preserve">learning </w:t>
      </w:r>
      <w:r w:rsidR="00B94E84">
        <w:t>domain</w:t>
      </w:r>
      <w:r w:rsidR="000A4FDA">
        <w:t>,</w:t>
      </w:r>
      <w:r w:rsidR="00B94E84">
        <w:t xml:space="preserve"> e.g. </w:t>
      </w:r>
      <w:r w:rsidR="00B94E84" w:rsidRPr="000A4FDA">
        <w:rPr>
          <w:i/>
        </w:rPr>
        <w:t>explain</w:t>
      </w:r>
      <w:r w:rsidR="00B94E84">
        <w:t xml:space="preserve"> </w:t>
      </w:r>
      <w:r w:rsidR="00771A7A">
        <w:t xml:space="preserve">exists in </w:t>
      </w:r>
      <w:r w:rsidR="000A4FDA">
        <w:t>cognitive</w:t>
      </w:r>
      <w:r w:rsidR="00F577D4">
        <w:t xml:space="preserve"> (Comprehension)</w:t>
      </w:r>
      <w:r w:rsidR="000A4FDA">
        <w:t xml:space="preserve"> and affective domain (</w:t>
      </w:r>
      <w:r w:rsidR="00550A5E">
        <w:t>Valuing and Organization</w:t>
      </w:r>
      <w:r w:rsidR="000A4FDA">
        <w:t>)</w:t>
      </w:r>
    </w:p>
    <w:p w:rsidR="003A20CA" w:rsidRDefault="00E87067" w:rsidP="00E87067">
      <w:pPr>
        <w:pStyle w:val="INF15-BodyText"/>
      </w:pPr>
      <w:r>
        <w:lastRenderedPageBreak/>
        <w:t>These problems were solved equally</w:t>
      </w:r>
      <w:r w:rsidR="00E926C8">
        <w:t>:</w:t>
      </w:r>
      <w:r>
        <w:t xml:space="preserve"> </w:t>
      </w:r>
      <w:r w:rsidR="009C0212">
        <w:t xml:space="preserve">learning outcome was split </w:t>
      </w:r>
      <w:r w:rsidR="00E926C8">
        <w:t>for each existing verb or level.</w:t>
      </w:r>
      <w:r w:rsidR="009C0212">
        <w:t xml:space="preserve"> </w:t>
      </w:r>
      <w:r w:rsidR="00E926C8">
        <w:t xml:space="preserve">E.g. </w:t>
      </w:r>
      <w:r w:rsidR="00E926C8" w:rsidRPr="00E926C8">
        <w:rPr>
          <w:i/>
        </w:rPr>
        <w:t>define and describe concepts</w:t>
      </w:r>
      <w:r w:rsidR="00E926C8">
        <w:t xml:space="preserve"> was treated as two outcomes, </w:t>
      </w:r>
      <w:r w:rsidR="00E926C8" w:rsidRPr="00E926C8">
        <w:rPr>
          <w:i/>
        </w:rPr>
        <w:t>define concepts</w:t>
      </w:r>
      <w:r w:rsidR="00E926C8">
        <w:t xml:space="preserve"> and </w:t>
      </w:r>
      <w:r w:rsidR="00E926C8" w:rsidRPr="00E926C8">
        <w:rPr>
          <w:i/>
        </w:rPr>
        <w:t>describe concepts</w:t>
      </w:r>
      <w:r w:rsidR="00E926C8">
        <w:t>.</w:t>
      </w:r>
    </w:p>
    <w:p w:rsidR="006C6F7E" w:rsidRDefault="00CE17A7" w:rsidP="00E87067">
      <w:pPr>
        <w:pStyle w:val="INF15-BodyText"/>
      </w:pPr>
      <w:r>
        <w:t>Table 2. shows the statistics of processed learning outcomes. From total of 151 actio</w:t>
      </w:r>
      <w:r w:rsidR="005A0DE4">
        <w:t>n verbs in cognitive domain, 77.</w:t>
      </w:r>
      <w:r>
        <w:t>48% were used in at least one learning outcome. Also, there are 3592 learning outcomes that were classified in cognitive domain</w:t>
      </w:r>
      <w:r w:rsidR="00254718">
        <w:t xml:space="preserve">, because of their relations with </w:t>
      </w:r>
      <w:r w:rsidR="001F1B1A">
        <w:t xml:space="preserve">cognitive action verbs. </w:t>
      </w:r>
      <w:r w:rsidR="002700CB">
        <w:t xml:space="preserve">The cognitive domain </w:t>
      </w:r>
      <w:r w:rsidR="009C00FC">
        <w:t>consists of 7 levels, thus the average level can take value from interval [1, 7]. The calculated value of 3.41 shows that</w:t>
      </w:r>
      <w:r w:rsidR="00032E1A">
        <w:t xml:space="preserve"> the</w:t>
      </w:r>
      <w:r w:rsidR="009C00FC">
        <w:t xml:space="preserve"> </w:t>
      </w:r>
      <w:r w:rsidR="000142FF">
        <w:t>average level of all study programs is approximately in the middle between</w:t>
      </w:r>
      <w:r w:rsidR="00FA16CA">
        <w:t xml:space="preserve"> Application and Analysis level</w:t>
      </w:r>
      <w:r w:rsidR="000142FF">
        <w:t>.</w:t>
      </w:r>
      <w:r w:rsidR="002A4874">
        <w:t xml:space="preserve"> Similar applies to affective domain</w:t>
      </w:r>
      <w:r w:rsidR="00A70AA5">
        <w:t xml:space="preserve">, where average level is between </w:t>
      </w:r>
      <w:r w:rsidR="00352853">
        <w:t>V</w:t>
      </w:r>
      <w:r w:rsidR="00A70AA5">
        <w:t xml:space="preserve">aluing and </w:t>
      </w:r>
      <w:r w:rsidR="00352853">
        <w:t>O</w:t>
      </w:r>
      <w:r w:rsidR="00A70AA5">
        <w:t xml:space="preserve">rganization. The </w:t>
      </w:r>
      <w:r w:rsidR="00CC366C">
        <w:t xml:space="preserve">weakest level </w:t>
      </w:r>
      <w:r w:rsidR="00352853">
        <w:t>is found in psychomotor domain</w:t>
      </w:r>
      <w:r w:rsidR="001B5365">
        <w:t xml:space="preserve">, which </w:t>
      </w:r>
      <w:r w:rsidR="00A42A84">
        <w:t>was</w:t>
      </w:r>
      <w:r w:rsidR="001C746F">
        <w:t xml:space="preserve"> </w:t>
      </w:r>
      <w:r w:rsidR="001B5365">
        <w:t xml:space="preserve">expected because of the </w:t>
      </w:r>
      <w:r w:rsidR="00166338">
        <w:t>field of the observed studies.</w:t>
      </w:r>
    </w:p>
    <w:p w:rsidR="00AC2757" w:rsidRDefault="00AC2757" w:rsidP="00AC2757">
      <w:pPr>
        <w:pStyle w:val="INF15-SingleSpace"/>
      </w:pPr>
    </w:p>
    <w:p w:rsidR="002E258E" w:rsidRDefault="002E258E" w:rsidP="00A2782F">
      <w:pPr>
        <w:pStyle w:val="INF15-BodyText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EC2685">
        <w:rPr>
          <w:noProof/>
        </w:rPr>
        <w:t>2</w:t>
      </w:r>
      <w:r>
        <w:fldChar w:fldCharType="end"/>
      </w:r>
      <w:r>
        <w:t>: Action verbs usage</w:t>
      </w:r>
      <w:r w:rsidR="00A1525B">
        <w:t xml:space="preserve"> and average levels</w:t>
      </w:r>
    </w:p>
    <w:tbl>
      <w:tblPr>
        <w:tblW w:w="6500" w:type="dxa"/>
        <w:tblInd w:w="108" w:type="dxa"/>
        <w:tblLook w:val="04A0" w:firstRow="1" w:lastRow="0" w:firstColumn="1" w:lastColumn="0" w:noHBand="0" w:noVBand="1"/>
      </w:tblPr>
      <w:tblGrid>
        <w:gridCol w:w="1380"/>
        <w:gridCol w:w="1120"/>
        <w:gridCol w:w="1500"/>
        <w:gridCol w:w="1060"/>
        <w:gridCol w:w="1440"/>
      </w:tblGrid>
      <w:tr w:rsidR="000C51F5" w:rsidRPr="001404EA" w:rsidTr="00F1716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1404EA">
            <w:pPr>
              <w:pStyle w:val="INF15-TableText"/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A97668" w:rsidRDefault="000C51F5" w:rsidP="001404EA">
            <w:pPr>
              <w:pStyle w:val="INF15-TableText"/>
              <w:rPr>
                <w:b/>
              </w:rPr>
            </w:pPr>
            <w:r w:rsidRPr="00A97668">
              <w:rPr>
                <w:b/>
              </w:rPr>
              <w:t>Total verbs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A97668" w:rsidRDefault="000C51F5" w:rsidP="001404EA">
            <w:pPr>
              <w:pStyle w:val="INF15-TableText"/>
              <w:rPr>
                <w:b/>
              </w:rPr>
            </w:pPr>
            <w:r w:rsidRPr="00A97668">
              <w:rPr>
                <w:b/>
              </w:rPr>
              <w:t>Used verbs (%)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A97668" w:rsidRDefault="000C51F5" w:rsidP="001404EA">
            <w:pPr>
              <w:pStyle w:val="INF15-TableText"/>
              <w:rPr>
                <w:b/>
              </w:rPr>
            </w:pPr>
            <w:r w:rsidRPr="00A97668">
              <w:rPr>
                <w:b/>
              </w:rPr>
              <w:t>Outcomes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A97668" w:rsidRDefault="000C51F5" w:rsidP="009C00FC">
            <w:pPr>
              <w:pStyle w:val="INF15-TableText"/>
              <w:rPr>
                <w:b/>
              </w:rPr>
            </w:pPr>
            <w:r w:rsidRPr="00A97668">
              <w:rPr>
                <w:b/>
              </w:rPr>
              <w:t xml:space="preserve">Average </w:t>
            </w:r>
            <w:r w:rsidR="009C00FC">
              <w:rPr>
                <w:b/>
              </w:rPr>
              <w:t>level</w:t>
            </w:r>
          </w:p>
        </w:tc>
      </w:tr>
      <w:tr w:rsidR="000C51F5" w:rsidRPr="001404EA" w:rsidTr="00F17168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1F5" w:rsidRPr="00A97668" w:rsidRDefault="000C51F5" w:rsidP="001404EA">
            <w:pPr>
              <w:pStyle w:val="INF15-TableText"/>
              <w:rPr>
                <w:b/>
              </w:rPr>
            </w:pPr>
            <w:r w:rsidRPr="00A97668">
              <w:rPr>
                <w:b/>
              </w:rPr>
              <w:t>Cognitive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DD4C2D">
            <w:pPr>
              <w:pStyle w:val="INF15-TableText"/>
              <w:jc w:val="center"/>
            </w:pPr>
            <w:r w:rsidRPr="001404EA">
              <w:t>151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5A0DE4">
            <w:pPr>
              <w:pStyle w:val="INF15-TableText"/>
              <w:jc w:val="center"/>
            </w:pPr>
            <w:r w:rsidRPr="001404EA">
              <w:t>77</w:t>
            </w:r>
            <w:r w:rsidR="005A0DE4">
              <w:t>.</w:t>
            </w:r>
            <w:r w:rsidRPr="001404EA">
              <w:t>48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DD4C2D">
            <w:pPr>
              <w:pStyle w:val="INF15-TableText"/>
              <w:jc w:val="center"/>
            </w:pPr>
            <w:r w:rsidRPr="001404EA">
              <w:t>3592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5A0DE4">
            <w:pPr>
              <w:pStyle w:val="INF15-TableText"/>
              <w:jc w:val="center"/>
            </w:pPr>
            <w:r w:rsidRPr="001404EA">
              <w:t>3</w:t>
            </w:r>
            <w:r w:rsidR="005A0DE4">
              <w:t>.</w:t>
            </w:r>
            <w:r w:rsidRPr="001404EA">
              <w:t>41</w:t>
            </w:r>
            <w:r w:rsidR="005C649D">
              <w:t xml:space="preserve"> / 7</w:t>
            </w:r>
          </w:p>
        </w:tc>
      </w:tr>
      <w:tr w:rsidR="000C51F5" w:rsidRPr="001404EA" w:rsidTr="00F1716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1F5" w:rsidRPr="00A97668" w:rsidRDefault="000C51F5" w:rsidP="001404EA">
            <w:pPr>
              <w:pStyle w:val="INF15-TableText"/>
              <w:rPr>
                <w:b/>
              </w:rPr>
            </w:pPr>
            <w:r w:rsidRPr="00A97668">
              <w:rPr>
                <w:b/>
              </w:rPr>
              <w:t>Affective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DD4C2D">
            <w:pPr>
              <w:pStyle w:val="INF15-TableText"/>
              <w:jc w:val="center"/>
            </w:pPr>
            <w:r w:rsidRPr="001404EA">
              <w:t>129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5A0DE4">
            <w:pPr>
              <w:pStyle w:val="INF15-TableText"/>
              <w:jc w:val="center"/>
            </w:pPr>
            <w:r w:rsidRPr="001404EA">
              <w:t>51</w:t>
            </w:r>
            <w:r w:rsidR="005A0DE4">
              <w:t>.</w:t>
            </w:r>
            <w:r w:rsidRPr="001404EA">
              <w:t>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DD4C2D">
            <w:pPr>
              <w:pStyle w:val="INF15-TableText"/>
              <w:jc w:val="center"/>
            </w:pPr>
            <w:r w:rsidRPr="001404EA">
              <w:t>2336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5A0DE4">
            <w:pPr>
              <w:pStyle w:val="INF15-TableText"/>
              <w:jc w:val="center"/>
            </w:pPr>
            <w:r w:rsidRPr="001404EA">
              <w:t>3</w:t>
            </w:r>
            <w:r w:rsidR="005A0DE4">
              <w:t>.</w:t>
            </w:r>
            <w:r w:rsidRPr="001404EA">
              <w:t>33</w:t>
            </w:r>
            <w:r w:rsidR="005C649D">
              <w:t xml:space="preserve"> / 5</w:t>
            </w:r>
          </w:p>
        </w:tc>
      </w:tr>
      <w:tr w:rsidR="000C51F5" w:rsidRPr="001404EA" w:rsidTr="00F1716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51F5" w:rsidRPr="00A97668" w:rsidRDefault="000C51F5" w:rsidP="001404EA">
            <w:pPr>
              <w:pStyle w:val="INF15-TableText"/>
              <w:rPr>
                <w:b/>
              </w:rPr>
            </w:pPr>
            <w:r w:rsidRPr="00A97668">
              <w:rPr>
                <w:b/>
              </w:rPr>
              <w:t xml:space="preserve">Psychomotor 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DD4C2D" w:rsidP="00DD4C2D">
            <w:pPr>
              <w:pStyle w:val="INF15-TableText"/>
              <w:jc w:val="center"/>
            </w:pPr>
            <w:r>
              <w:t xml:space="preserve"> </w:t>
            </w:r>
            <w:r w:rsidR="000C51F5" w:rsidRPr="001404EA">
              <w:t>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5A0DE4">
            <w:pPr>
              <w:pStyle w:val="INF15-TableText"/>
              <w:jc w:val="center"/>
            </w:pPr>
            <w:r w:rsidRPr="001404EA">
              <w:t>42</w:t>
            </w:r>
            <w:r w:rsidR="005A0DE4">
              <w:t>.</w:t>
            </w:r>
            <w:r w:rsidRPr="001404EA">
              <w:t>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DD4C2D" w:rsidP="00DD4C2D">
            <w:pPr>
              <w:pStyle w:val="INF15-TableText"/>
              <w:jc w:val="center"/>
            </w:pPr>
            <w:r>
              <w:t xml:space="preserve">  </w:t>
            </w:r>
            <w:r w:rsidR="000C51F5" w:rsidRPr="001404EA">
              <w:t>825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51F5" w:rsidRPr="001404EA" w:rsidRDefault="000C51F5" w:rsidP="005A0DE4">
            <w:pPr>
              <w:pStyle w:val="INF15-TableText"/>
              <w:jc w:val="center"/>
            </w:pPr>
            <w:r w:rsidRPr="001404EA">
              <w:t>2</w:t>
            </w:r>
            <w:r w:rsidR="005A0DE4">
              <w:t>.</w:t>
            </w:r>
            <w:r w:rsidRPr="001404EA">
              <w:t>68</w:t>
            </w:r>
            <w:r w:rsidR="006A6E3E">
              <w:t xml:space="preserve"> / 7</w:t>
            </w:r>
          </w:p>
        </w:tc>
      </w:tr>
    </w:tbl>
    <w:p w:rsidR="007E2CF1" w:rsidRDefault="007E2CF1" w:rsidP="00063CC4">
      <w:pPr>
        <w:pStyle w:val="INF15-SingleSpace"/>
      </w:pPr>
    </w:p>
    <w:p w:rsidR="00063CC4" w:rsidRDefault="00F11261" w:rsidP="00063CC4">
      <w:pPr>
        <w:pStyle w:val="INF15-Subtitle1"/>
      </w:pPr>
      <w:r>
        <w:t>A</w:t>
      </w:r>
      <w:r w:rsidR="00063CC4">
        <w:t>nalysis</w:t>
      </w:r>
      <w:r>
        <w:t xml:space="preserve"> of </w:t>
      </w:r>
      <w:r w:rsidR="00864D86">
        <w:t xml:space="preserve">common </w:t>
      </w:r>
      <w:r>
        <w:t>outcomes</w:t>
      </w:r>
    </w:p>
    <w:p w:rsidR="0054301F" w:rsidRDefault="0054301F" w:rsidP="001C3B79">
      <w:pPr>
        <w:pStyle w:val="INF15-SingleSpace"/>
      </w:pPr>
    </w:p>
    <w:p w:rsidR="00CA2EDD" w:rsidRDefault="00DD3174" w:rsidP="001C3B79">
      <w:pPr>
        <w:pStyle w:val="INF15-BodyText"/>
      </w:pPr>
      <w:r>
        <w:t>Relationship between</w:t>
      </w:r>
      <w:r w:rsidR="00864D86">
        <w:t xml:space="preserve"> </w:t>
      </w:r>
      <w:r>
        <w:t xml:space="preserve">outcomes and studies </w:t>
      </w:r>
      <w:r w:rsidR="00864D86">
        <w:t xml:space="preserve">was analysed in a way to discover which </w:t>
      </w:r>
      <w:r w:rsidR="000161A2">
        <w:t>outcomes</w:t>
      </w:r>
      <w:r w:rsidR="00864D86">
        <w:t xml:space="preserve"> are </w:t>
      </w:r>
      <w:r w:rsidR="000161A2">
        <w:t>common to all or majority of studies and courses</w:t>
      </w:r>
      <w:r w:rsidR="00864D86">
        <w:t>, i.e. which outcomes are not subject specific</w:t>
      </w:r>
      <w:r w:rsidR="00BA2ED1">
        <w:t xml:space="preserve">. </w:t>
      </w:r>
      <w:r w:rsidR="009211C7">
        <w:t>Those outcomes should be g</w:t>
      </w:r>
      <w:r w:rsidR="00864D86">
        <w:t>e</w:t>
      </w:r>
      <w:r w:rsidR="009211C7">
        <w:t xml:space="preserve">neric, which means that they </w:t>
      </w:r>
      <w:r w:rsidR="00BA2ED1">
        <w:t xml:space="preserve">are </w:t>
      </w:r>
      <w:r w:rsidR="00864D86">
        <w:t xml:space="preserve">not related to any discipline </w:t>
      </w:r>
      <w:r w:rsidR="00BA2ED1">
        <w:t>or field, but to the level</w:t>
      </w:r>
      <w:r w:rsidR="00C8327D">
        <w:t xml:space="preserve"> of study</w:t>
      </w:r>
      <w:r w:rsidR="00BA2ED1">
        <w:t>.</w:t>
      </w:r>
    </w:p>
    <w:p w:rsidR="001C3B79" w:rsidRDefault="00C97583" w:rsidP="001C3B79">
      <w:pPr>
        <w:pStyle w:val="INF15-BodyText"/>
      </w:pPr>
      <w:r>
        <w:t>Analysis showed</w:t>
      </w:r>
      <w:r w:rsidR="00B864E1">
        <w:t xml:space="preserve"> </w:t>
      </w:r>
      <w:r>
        <w:t xml:space="preserve">that </w:t>
      </w:r>
      <w:r w:rsidR="00B864E1">
        <w:t xml:space="preserve">there exists very small number of common outcomes. </w:t>
      </w:r>
      <w:r>
        <w:t xml:space="preserve">As it is shown in </w:t>
      </w:r>
      <w:r w:rsidR="00EC2685">
        <w:t>Table 3</w:t>
      </w:r>
      <w:r>
        <w:t xml:space="preserve">, </w:t>
      </w:r>
      <w:r w:rsidR="00857D07">
        <w:t xml:space="preserve">the most frequent outcome appears in less than 19% of courses. It is included only in undergraduate </w:t>
      </w:r>
      <w:r w:rsidR="006B51B9">
        <w:t>studies</w:t>
      </w:r>
      <w:r w:rsidR="00857D07">
        <w:t xml:space="preserve">, </w:t>
      </w:r>
      <w:r w:rsidR="00CB1259">
        <w:t>which is understandable because it</w:t>
      </w:r>
      <w:r w:rsidR="00A5714A">
        <w:t xml:space="preserve"> also</w:t>
      </w:r>
      <w:r w:rsidR="00CB1259">
        <w:t xml:space="preserve"> </w:t>
      </w:r>
      <w:r w:rsidR="00B67F8D">
        <w:t xml:space="preserve">refers </w:t>
      </w:r>
      <w:r w:rsidR="00CB1259">
        <w:t xml:space="preserve">to the </w:t>
      </w:r>
      <w:r w:rsidR="00B67F8D">
        <w:t xml:space="preserve">selection of </w:t>
      </w:r>
      <w:r w:rsidR="00BB07C9">
        <w:t xml:space="preserve">further education and </w:t>
      </w:r>
      <w:r w:rsidR="00B67F8D">
        <w:t xml:space="preserve">graduate study. The other </w:t>
      </w:r>
      <w:r w:rsidR="00857D07">
        <w:t xml:space="preserve">four most frequent </w:t>
      </w:r>
      <w:r w:rsidR="00C95C18">
        <w:t>outcomes</w:t>
      </w:r>
      <w:r w:rsidR="00174F9D">
        <w:t xml:space="preserve"> appear </w:t>
      </w:r>
      <w:r w:rsidR="00B67F8D">
        <w:t xml:space="preserve">only </w:t>
      </w:r>
      <w:r w:rsidR="00174F9D">
        <w:t xml:space="preserve">in </w:t>
      </w:r>
      <w:r w:rsidR="002E3FCF">
        <w:t>teaching-oriented studies.</w:t>
      </w:r>
      <w:r w:rsidR="00857D07">
        <w:t xml:space="preserve"> </w:t>
      </w:r>
    </w:p>
    <w:p w:rsidR="002E2C5A" w:rsidRDefault="002E2C5A" w:rsidP="00873164">
      <w:pPr>
        <w:pStyle w:val="INF15-SingleSpace"/>
      </w:pPr>
    </w:p>
    <w:p w:rsidR="00EC2685" w:rsidRDefault="00EC2685" w:rsidP="00A2782F">
      <w:pPr>
        <w:pStyle w:val="INF15-BodyText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Common learning outcomes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54"/>
        <w:gridCol w:w="1134"/>
      </w:tblGrid>
      <w:tr w:rsidR="00873164" w:rsidRPr="00873164" w:rsidTr="00CB1259">
        <w:tc>
          <w:tcPr>
            <w:tcW w:w="5954" w:type="dxa"/>
          </w:tcPr>
          <w:p w:rsidR="00873164" w:rsidRPr="00873164" w:rsidRDefault="00873164" w:rsidP="00873164">
            <w:pPr>
              <w:pStyle w:val="INF15-TableText"/>
              <w:jc w:val="center"/>
              <w:rPr>
                <w:b/>
              </w:rPr>
            </w:pPr>
            <w:r w:rsidRPr="00873164">
              <w:rPr>
                <w:b/>
              </w:rPr>
              <w:t>Learning outcome</w:t>
            </w:r>
          </w:p>
        </w:tc>
        <w:tc>
          <w:tcPr>
            <w:tcW w:w="1134" w:type="dxa"/>
          </w:tcPr>
          <w:p w:rsidR="00873164" w:rsidRPr="00873164" w:rsidRDefault="00873164" w:rsidP="00873164">
            <w:pPr>
              <w:pStyle w:val="INF15-TableText"/>
              <w:rPr>
                <w:b/>
              </w:rPr>
            </w:pPr>
            <w:r w:rsidRPr="00873164">
              <w:rPr>
                <w:b/>
              </w:rPr>
              <w:t>Percenage</w:t>
            </w:r>
          </w:p>
        </w:tc>
      </w:tr>
      <w:tr w:rsidR="001F0DCF" w:rsidRPr="00873164" w:rsidTr="00CB1259">
        <w:tc>
          <w:tcPr>
            <w:tcW w:w="5954" w:type="dxa"/>
          </w:tcPr>
          <w:p w:rsidR="001F0DCF" w:rsidRPr="00873164" w:rsidRDefault="001F0DCF" w:rsidP="001F0DCF">
            <w:pPr>
              <w:pStyle w:val="INF15-TableText"/>
            </w:pPr>
            <w:r w:rsidRPr="00873164">
              <w:t>Assess own interests and competencies and select appropriate areas for further education</w:t>
            </w:r>
          </w:p>
        </w:tc>
        <w:tc>
          <w:tcPr>
            <w:tcW w:w="1134" w:type="dxa"/>
            <w:vAlign w:val="bottom"/>
          </w:tcPr>
          <w:p w:rsidR="001F0DCF" w:rsidRDefault="001F0DCF" w:rsidP="001F0DCF">
            <w:pPr>
              <w:pStyle w:val="INF15-TableText"/>
              <w:jc w:val="center"/>
              <w:rPr>
                <w:lang w:val="hr-HR" w:eastAsia="hr-HR"/>
              </w:rPr>
            </w:pPr>
            <w:r>
              <w:t>18.85</w:t>
            </w:r>
          </w:p>
        </w:tc>
      </w:tr>
      <w:tr w:rsidR="001F0DCF" w:rsidRPr="00873164" w:rsidTr="00CB1259">
        <w:tc>
          <w:tcPr>
            <w:tcW w:w="5954" w:type="dxa"/>
          </w:tcPr>
          <w:p w:rsidR="001F0DCF" w:rsidRPr="00873164" w:rsidRDefault="001F0DCF" w:rsidP="001F0DCF">
            <w:pPr>
              <w:pStyle w:val="INF15-TableText"/>
            </w:pPr>
            <w:r w:rsidRPr="00873164">
              <w:t>Prepare and transmit course materials in accordance with the fundamental articulation models</w:t>
            </w:r>
          </w:p>
        </w:tc>
        <w:tc>
          <w:tcPr>
            <w:tcW w:w="1134" w:type="dxa"/>
            <w:vAlign w:val="bottom"/>
          </w:tcPr>
          <w:p w:rsidR="001F0DCF" w:rsidRDefault="001F0DCF" w:rsidP="001F0DCF">
            <w:pPr>
              <w:pStyle w:val="INF15-TableText"/>
              <w:jc w:val="center"/>
            </w:pPr>
            <w:r>
              <w:t>9.84</w:t>
            </w:r>
          </w:p>
        </w:tc>
      </w:tr>
      <w:tr w:rsidR="001F0DCF" w:rsidRPr="00873164" w:rsidTr="00CB1259">
        <w:tc>
          <w:tcPr>
            <w:tcW w:w="5954" w:type="dxa"/>
          </w:tcPr>
          <w:p w:rsidR="001F0DCF" w:rsidRPr="00873164" w:rsidRDefault="001F0DCF" w:rsidP="001F0DCF">
            <w:pPr>
              <w:pStyle w:val="INF15-TableText"/>
            </w:pPr>
            <w:r w:rsidRPr="00873164">
              <w:t>State, explain and apply basic psychological factors of successful learning and teaching</w:t>
            </w:r>
          </w:p>
        </w:tc>
        <w:tc>
          <w:tcPr>
            <w:tcW w:w="1134" w:type="dxa"/>
            <w:vAlign w:val="bottom"/>
          </w:tcPr>
          <w:p w:rsidR="001F0DCF" w:rsidRDefault="001F0DCF" w:rsidP="001F0DCF">
            <w:pPr>
              <w:pStyle w:val="INF15-TableText"/>
              <w:jc w:val="center"/>
            </w:pPr>
            <w:r>
              <w:t>8.20</w:t>
            </w:r>
          </w:p>
        </w:tc>
      </w:tr>
      <w:tr w:rsidR="001F0DCF" w:rsidRPr="00873164" w:rsidTr="00CB1259">
        <w:tc>
          <w:tcPr>
            <w:tcW w:w="5954" w:type="dxa"/>
          </w:tcPr>
          <w:p w:rsidR="001F0DCF" w:rsidRPr="00873164" w:rsidRDefault="001F0DCF" w:rsidP="001F0DCF">
            <w:pPr>
              <w:pStyle w:val="INF15-TableText"/>
            </w:pPr>
            <w:r w:rsidRPr="00873164">
              <w:t>Apply the skills of lifelong learning and language training in certain field, depending on the needs of the job</w:t>
            </w:r>
          </w:p>
        </w:tc>
        <w:tc>
          <w:tcPr>
            <w:tcW w:w="1134" w:type="dxa"/>
            <w:vAlign w:val="bottom"/>
          </w:tcPr>
          <w:p w:rsidR="001F0DCF" w:rsidRDefault="001F0DCF" w:rsidP="001F0DCF">
            <w:pPr>
              <w:pStyle w:val="INF15-TableText"/>
              <w:jc w:val="center"/>
            </w:pPr>
            <w:r>
              <w:t>5.74</w:t>
            </w:r>
          </w:p>
        </w:tc>
      </w:tr>
      <w:tr w:rsidR="001F0DCF" w:rsidRPr="00873164" w:rsidTr="00CB1259">
        <w:tc>
          <w:tcPr>
            <w:tcW w:w="5954" w:type="dxa"/>
          </w:tcPr>
          <w:p w:rsidR="001F0DCF" w:rsidRPr="00873164" w:rsidRDefault="001F0DCF" w:rsidP="001F0DCF">
            <w:pPr>
              <w:pStyle w:val="INF15-TableText"/>
            </w:pPr>
            <w:r w:rsidRPr="00873164">
              <w:lastRenderedPageBreak/>
              <w:t>Explain didactic theories and models and apply them in teaching</w:t>
            </w:r>
          </w:p>
        </w:tc>
        <w:tc>
          <w:tcPr>
            <w:tcW w:w="1134" w:type="dxa"/>
            <w:vAlign w:val="bottom"/>
          </w:tcPr>
          <w:p w:rsidR="001F0DCF" w:rsidRDefault="001F0DCF" w:rsidP="001F0DCF">
            <w:pPr>
              <w:pStyle w:val="INF15-TableText"/>
              <w:jc w:val="center"/>
            </w:pPr>
            <w:r>
              <w:t>5.74</w:t>
            </w:r>
          </w:p>
        </w:tc>
      </w:tr>
    </w:tbl>
    <w:p w:rsidR="00873164" w:rsidRDefault="00873164" w:rsidP="00873164">
      <w:pPr>
        <w:pStyle w:val="INF15-TableText"/>
      </w:pPr>
    </w:p>
    <w:p w:rsidR="00063CC4" w:rsidRDefault="00FA3F67" w:rsidP="00CE1E79">
      <w:pPr>
        <w:pStyle w:val="INF15-SingleSpace"/>
      </w:pPr>
      <w:r>
        <w:t xml:space="preserve">Data was further analysed for common outcomes between </w:t>
      </w:r>
      <w:r w:rsidR="005C1C6B">
        <w:t xml:space="preserve">undergraduate and graduate level of each study program (Figure 1, darker fill). Most study programs overlap </w:t>
      </w:r>
      <w:r w:rsidR="006644BF">
        <w:t>from</w:t>
      </w:r>
      <w:r w:rsidR="005C1C6B">
        <w:t xml:space="preserve"> 0% or 20% of </w:t>
      </w:r>
      <w:r w:rsidR="001236B5">
        <w:t xml:space="preserve">their </w:t>
      </w:r>
      <w:r w:rsidR="005C1C6B">
        <w:t>outcomes</w:t>
      </w:r>
      <w:r w:rsidR="008938CC">
        <w:t xml:space="preserve">, which </w:t>
      </w:r>
      <w:r w:rsidR="00AB6BAA">
        <w:t>corresponds to one or two common outcomes</w:t>
      </w:r>
      <w:r w:rsidR="005C1C6B">
        <w:t xml:space="preserve">. In this </w:t>
      </w:r>
      <w:r w:rsidR="00140E0A">
        <w:t xml:space="preserve">interval there is a total of 18 (out of 41) study programs. </w:t>
      </w:r>
      <w:r w:rsidR="00FA7BB5">
        <w:t xml:space="preserve">For example, </w:t>
      </w:r>
      <w:r w:rsidR="00FA7BB5" w:rsidRPr="00FA7BB5">
        <w:rPr>
          <w:i/>
        </w:rPr>
        <w:t>Undergraduate study of Information sciences</w:t>
      </w:r>
      <w:r w:rsidR="00FA7BB5">
        <w:t xml:space="preserve"> and </w:t>
      </w:r>
      <w:r w:rsidR="00FA7BB5" w:rsidRPr="00FA7BB5">
        <w:rPr>
          <w:i/>
        </w:rPr>
        <w:t>Graduate programme of library science</w:t>
      </w:r>
      <w:r w:rsidR="00FA7BB5">
        <w:t xml:space="preserve"> overlap in one learning outcome: I</w:t>
      </w:r>
      <w:r w:rsidR="00CE3F44">
        <w:t>mplement programs of</w:t>
      </w:r>
      <w:r w:rsidR="00FA7BB5" w:rsidRPr="00FA7BB5">
        <w:t xml:space="preserve"> </w:t>
      </w:r>
      <w:r w:rsidR="00CE3F44">
        <w:t>material</w:t>
      </w:r>
      <w:r w:rsidR="00FA7BB5" w:rsidRPr="00FA7BB5">
        <w:t xml:space="preserve"> and data</w:t>
      </w:r>
      <w:r w:rsidR="00CE3F44">
        <w:t xml:space="preserve"> protection</w:t>
      </w:r>
      <w:r w:rsidR="00FA7BB5">
        <w:t xml:space="preserve">. </w:t>
      </w:r>
      <w:r w:rsidR="00140E0A">
        <w:t xml:space="preserve">It is interesting to observe that one study program </w:t>
      </w:r>
      <w:r w:rsidR="00E12068">
        <w:t>on graduate level completely overlaps with its undergraduate level.</w:t>
      </w:r>
    </w:p>
    <w:p w:rsidR="00E1177B" w:rsidRDefault="00E1177B" w:rsidP="00CE1E79">
      <w:pPr>
        <w:pStyle w:val="INF15-SingleSpace"/>
      </w:pPr>
    </w:p>
    <w:p w:rsidR="00D63902" w:rsidRDefault="00D63902" w:rsidP="000213B8">
      <w:pPr>
        <w:pStyle w:val="INF15-BodyText"/>
        <w:jc w:val="center"/>
      </w:pPr>
      <w:r>
        <w:t xml:space="preserve">Figure </w:t>
      </w:r>
      <w:r w:rsidR="006C3FD8">
        <w:fldChar w:fldCharType="begin"/>
      </w:r>
      <w:r w:rsidR="006C3FD8">
        <w:instrText xml:space="preserve"> SEQ Figure \* ARABIC </w:instrText>
      </w:r>
      <w:r w:rsidR="006C3FD8">
        <w:fldChar w:fldCharType="separate"/>
      </w:r>
      <w:r w:rsidR="00E011E4">
        <w:rPr>
          <w:noProof/>
        </w:rPr>
        <w:t>1</w:t>
      </w:r>
      <w:r w:rsidR="006C3FD8">
        <w:fldChar w:fldCharType="end"/>
      </w:r>
      <w:r>
        <w:t>: Common outcomes analysis</w:t>
      </w:r>
    </w:p>
    <w:p w:rsidR="00AB6BAA" w:rsidRDefault="0054301F" w:rsidP="00AB6BAA">
      <w:pPr>
        <w:pStyle w:val="INF15-BodyText"/>
      </w:pPr>
      <w:r w:rsidRPr="00D63902">
        <w:rPr>
          <w:noProof/>
          <w:lang w:val="hr-HR" w:eastAsia="hr-HR"/>
        </w:rPr>
        <w:drawing>
          <wp:inline distT="0" distB="0" distL="0" distR="0" wp14:anchorId="48AABC62" wp14:editId="5909E014">
            <wp:extent cx="4499610" cy="2449001"/>
            <wp:effectExtent l="0" t="0" r="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B6BAA" w:rsidRDefault="002054CA" w:rsidP="00AB6BAA">
      <w:pPr>
        <w:pStyle w:val="INF15-BodyText"/>
      </w:pPr>
      <w:r>
        <w:t xml:space="preserve">Figure 1. also shows the overlapping of </w:t>
      </w:r>
      <w:r w:rsidR="004736B6">
        <w:t xml:space="preserve">learning outcomes </w:t>
      </w:r>
      <w:r w:rsidR="008E00B6">
        <w:t>between</w:t>
      </w:r>
      <w:r w:rsidR="004736B6">
        <w:t xml:space="preserve"> courses of </w:t>
      </w:r>
      <w:r w:rsidR="00EE672F">
        <w:t>their</w:t>
      </w:r>
      <w:r w:rsidR="008E00B6">
        <w:t xml:space="preserve"> corresponding </w:t>
      </w:r>
      <w:r w:rsidR="00EE672F">
        <w:t xml:space="preserve">study program (e.g. </w:t>
      </w:r>
      <w:r w:rsidR="00F31003">
        <w:t>Graduate study of Informatics, Teaching-oriented and Research-oriented study).</w:t>
      </w:r>
      <w:r w:rsidR="00BC49DB">
        <w:t xml:space="preserve"> </w:t>
      </w:r>
      <w:r w:rsidR="006E2B2C">
        <w:t>There are</w:t>
      </w:r>
      <w:r w:rsidR="004A7F01">
        <w:t xml:space="preserve"> </w:t>
      </w:r>
      <w:r w:rsidR="00E546C0">
        <w:t xml:space="preserve">10 courses </w:t>
      </w:r>
      <w:r w:rsidR="006E2B2C">
        <w:t xml:space="preserve">with </w:t>
      </w:r>
      <w:r w:rsidR="00E546C0">
        <w:t xml:space="preserve">completely </w:t>
      </w:r>
      <w:r w:rsidR="00426AF8">
        <w:t>overlap</w:t>
      </w:r>
      <w:r w:rsidR="00525CCA">
        <w:t>ping outcomes, 6 courses with 90% overlap, etc</w:t>
      </w:r>
      <w:r w:rsidR="00426AF8">
        <w:t xml:space="preserve">. </w:t>
      </w:r>
      <w:r w:rsidR="00525CCA">
        <w:t xml:space="preserve">There </w:t>
      </w:r>
      <w:r w:rsidR="006E2B2C">
        <w:t xml:space="preserve">exists </w:t>
      </w:r>
      <w:r w:rsidR="00525CCA">
        <w:t xml:space="preserve">a certain regularity: </w:t>
      </w:r>
      <w:r w:rsidR="003C524C">
        <w:t>higher</w:t>
      </w:r>
      <w:r w:rsidR="00351CD4">
        <w:t xml:space="preserve"> </w:t>
      </w:r>
      <w:r w:rsidR="00943A0A">
        <w:t>similarity level</w:t>
      </w:r>
      <w:r w:rsidR="00966F05">
        <w:t xml:space="preserve"> (above 50%)</w:t>
      </w:r>
      <w:r w:rsidR="00943A0A">
        <w:t xml:space="preserve"> is noticed </w:t>
      </w:r>
      <w:r w:rsidR="003A1790">
        <w:t xml:space="preserve">only </w:t>
      </w:r>
      <w:r w:rsidR="005E0434">
        <w:t>between</w:t>
      </w:r>
      <w:r w:rsidR="00943A0A">
        <w:t xml:space="preserve"> </w:t>
      </w:r>
      <w:r w:rsidR="006E2B2C">
        <w:t>single and double major variants</w:t>
      </w:r>
      <w:r w:rsidR="006608C1">
        <w:t xml:space="preserve"> of the same course</w:t>
      </w:r>
      <w:r w:rsidR="00D57B4D">
        <w:t xml:space="preserve">. </w:t>
      </w:r>
      <w:r w:rsidR="00F27E26">
        <w:t>Other combinations (e.g. between two single major courses) have lower level of similarity.</w:t>
      </w:r>
    </w:p>
    <w:p w:rsidR="002F4ADE" w:rsidRDefault="002F4ADE" w:rsidP="002F4ADE">
      <w:pPr>
        <w:pStyle w:val="INF15-SingleSpace"/>
      </w:pPr>
    </w:p>
    <w:p w:rsidR="002F4ADE" w:rsidRDefault="00F35B7F" w:rsidP="002F4ADE">
      <w:pPr>
        <w:pStyle w:val="INF15-Subtitle1"/>
      </w:pPr>
      <w:r>
        <w:t xml:space="preserve">Differences between </w:t>
      </w:r>
      <w:r w:rsidR="00976B56">
        <w:t>study</w:t>
      </w:r>
      <w:r>
        <w:t xml:space="preserve"> levels</w:t>
      </w:r>
    </w:p>
    <w:p w:rsidR="00025790" w:rsidRDefault="00025790" w:rsidP="008A5748">
      <w:pPr>
        <w:pStyle w:val="INF15-SingleSpace"/>
      </w:pPr>
    </w:p>
    <w:p w:rsidR="00C93EFE" w:rsidRDefault="000E25DC" w:rsidP="00C93EFE">
      <w:pPr>
        <w:pStyle w:val="INF15-BodyText"/>
      </w:pPr>
      <w:r>
        <w:t xml:space="preserve">Undergraduate level of study should be formed so that it provides </w:t>
      </w:r>
      <w:r>
        <w:rPr>
          <w:rStyle w:val="FootnoteReference"/>
        </w:rPr>
        <w:footnoteReference w:id="2"/>
      </w:r>
      <w:r>
        <w:t xml:space="preserve">general knowledge in the field of study, that is, students are supposed to gain principles </w:t>
      </w:r>
      <w:r>
        <w:lastRenderedPageBreak/>
        <w:t>and concepts relating to the field. Graduate level of study</w:t>
      </w:r>
      <w:r>
        <w:rPr>
          <w:rStyle w:val="FootnoteReference"/>
        </w:rPr>
        <w:footnoteReference w:id="3"/>
      </w:r>
      <w:r>
        <w:t xml:space="preserve"> provides highly specialized knowledge and students gain specialized skills that </w:t>
      </w:r>
      <w:r w:rsidR="001E5F37">
        <w:t>enable problem solving, integration with other fields and developing new knowledge.</w:t>
      </w:r>
      <w:r w:rsidR="006845E1">
        <w:t xml:space="preserve"> </w:t>
      </w:r>
    </w:p>
    <w:p w:rsidR="008A5748" w:rsidRDefault="00CC3CE1" w:rsidP="008A5748">
      <w:pPr>
        <w:pStyle w:val="INF15-BodyText"/>
      </w:pPr>
      <w:r>
        <w:t xml:space="preserve">Figure 2. shows the relationship between </w:t>
      </w:r>
      <w:r w:rsidR="00FB0343">
        <w:t xml:space="preserve">levels in each domain and two observed levels of study. </w:t>
      </w:r>
      <w:r w:rsidR="00A94227">
        <w:t xml:space="preserve">Vertical axes shows the </w:t>
      </w:r>
      <w:r w:rsidR="005230A3">
        <w:t>percentage</w:t>
      </w:r>
      <w:r w:rsidR="00A94227">
        <w:t xml:space="preserve"> of each outcome level</w:t>
      </w:r>
      <w:r w:rsidR="00AB1670">
        <w:t xml:space="preserve"> in undergraduate or graduate studies</w:t>
      </w:r>
      <w:r w:rsidR="00A94227">
        <w:t>.</w:t>
      </w:r>
    </w:p>
    <w:p w:rsidR="00E1177B" w:rsidRPr="008A5748" w:rsidRDefault="00E1177B" w:rsidP="00E1177B">
      <w:pPr>
        <w:pStyle w:val="INF15-SingleSpace"/>
      </w:pPr>
    </w:p>
    <w:p w:rsidR="009A0FDC" w:rsidRDefault="009A0FDC" w:rsidP="00815761">
      <w:pPr>
        <w:pStyle w:val="INF15-BodyText"/>
        <w:jc w:val="center"/>
      </w:pPr>
      <w:r>
        <w:t xml:space="preserve">Figure </w:t>
      </w:r>
      <w:r w:rsidR="006C3FD8">
        <w:fldChar w:fldCharType="begin"/>
      </w:r>
      <w:r w:rsidR="006C3FD8">
        <w:instrText xml:space="preserve"> SEQ Figure \* ARABIC </w:instrText>
      </w:r>
      <w:r w:rsidR="006C3FD8">
        <w:fldChar w:fldCharType="separate"/>
      </w:r>
      <w:r w:rsidR="00E011E4">
        <w:rPr>
          <w:noProof/>
        </w:rPr>
        <w:t>2</w:t>
      </w:r>
      <w:r w:rsidR="006C3FD8">
        <w:fldChar w:fldCharType="end"/>
      </w:r>
      <w:r w:rsidR="004849F8">
        <w:t>: Relationship between outcome levels</w:t>
      </w:r>
      <w:r>
        <w:t xml:space="preserve"> and study levels</w:t>
      </w:r>
    </w:p>
    <w:p w:rsidR="00025790" w:rsidRDefault="00D15C93" w:rsidP="00025790">
      <w:pPr>
        <w:pStyle w:val="INF15-BodyText"/>
      </w:pPr>
      <w:r>
        <w:rPr>
          <w:noProof/>
          <w:lang w:val="hr-HR" w:eastAsia="hr-HR"/>
        </w:rPr>
        <w:drawing>
          <wp:inline distT="0" distB="0" distL="0" distR="0" wp14:anchorId="2008D591" wp14:editId="394B6655">
            <wp:extent cx="4499610" cy="2179929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B5976" w:rsidRDefault="00093A16" w:rsidP="000B5976">
      <w:pPr>
        <w:pStyle w:val="INF15-BodyText"/>
      </w:pPr>
      <w:r>
        <w:t xml:space="preserve">Analysis showed that </w:t>
      </w:r>
      <w:r w:rsidR="00D746C2">
        <w:t xml:space="preserve">graduate studies are more represented in higher levels </w:t>
      </w:r>
      <w:r w:rsidR="00CA610A">
        <w:t>of cognitive domain</w:t>
      </w:r>
      <w:r w:rsidR="0054133D">
        <w:t>, i.e. 10% of their learning outcomes is associated to 6</w:t>
      </w:r>
      <w:r w:rsidR="0054133D" w:rsidRPr="0054133D">
        <w:rPr>
          <w:vertAlign w:val="superscript"/>
        </w:rPr>
        <w:t>th</w:t>
      </w:r>
      <w:r w:rsidR="0054133D">
        <w:t xml:space="preserve"> cognitive level, as opposed to 7% </w:t>
      </w:r>
      <w:r w:rsidR="00EB6001">
        <w:t>in the undergraduate studies</w:t>
      </w:r>
      <w:r w:rsidR="00CA610A">
        <w:t>. Synthesis level</w:t>
      </w:r>
      <w:r w:rsidR="00CF27B1">
        <w:t xml:space="preserve"> </w:t>
      </w:r>
      <w:r w:rsidR="00EA2D96">
        <w:t>(5</w:t>
      </w:r>
      <w:r w:rsidR="00EA2D96" w:rsidRPr="00EA2D96">
        <w:rPr>
          <w:vertAlign w:val="superscript"/>
        </w:rPr>
        <w:t>th</w:t>
      </w:r>
      <w:r w:rsidR="00EA2D96">
        <w:t xml:space="preserve">) </w:t>
      </w:r>
      <w:r w:rsidR="002E64CE">
        <w:t xml:space="preserve">refers to integrating and combining ideas and knowledge into new ones, </w:t>
      </w:r>
      <w:r w:rsidR="00CF27B1">
        <w:t>and Evaluation level</w:t>
      </w:r>
      <w:r w:rsidR="00EA2D96">
        <w:t xml:space="preserve"> (6</w:t>
      </w:r>
      <w:r w:rsidR="00EA2D96" w:rsidRPr="00EA2D96">
        <w:rPr>
          <w:vertAlign w:val="superscript"/>
        </w:rPr>
        <w:t>th</w:t>
      </w:r>
      <w:r w:rsidR="00EA2D96">
        <w:t>)</w:t>
      </w:r>
      <w:r w:rsidR="00CF27B1">
        <w:t xml:space="preserve"> </w:t>
      </w:r>
      <w:r w:rsidR="00745E66">
        <w:t xml:space="preserve">refers to assessment and critique of values and ideas. </w:t>
      </w:r>
      <w:r w:rsidR="00B23DC2">
        <w:t>Both levels are emphasised in graduate studies, which is in accordance with differences between undergraduate and graduate studies (explained in previous paragraph).</w:t>
      </w:r>
    </w:p>
    <w:p w:rsidR="002C3F53" w:rsidRDefault="00CA3892" w:rsidP="000B5976">
      <w:pPr>
        <w:pStyle w:val="INF15-BodyText"/>
      </w:pPr>
      <w:r>
        <w:t>In affective domain</w:t>
      </w:r>
      <w:r w:rsidR="007C3AF6">
        <w:t>,</w:t>
      </w:r>
      <w:r>
        <w:t xml:space="preserve"> there </w:t>
      </w:r>
      <w:r w:rsidR="004418C1">
        <w:t>exists a very</w:t>
      </w:r>
      <w:r>
        <w:t xml:space="preserve"> small difference between levels of study. </w:t>
      </w:r>
      <w:r w:rsidR="007C3AF6">
        <w:t xml:space="preserve">The average level of undergraduate studies is 3.19, while graduate studies have average level of 3.42. </w:t>
      </w:r>
      <w:r>
        <w:t>G</w:t>
      </w:r>
      <w:r w:rsidR="00454D2E">
        <w:t xml:space="preserve">raduate studies are </w:t>
      </w:r>
      <w:r w:rsidR="007C3AF6" w:rsidRPr="007C3AF6">
        <w:t xml:space="preserve">noticeably </w:t>
      </w:r>
      <w:r w:rsidR="00454D2E">
        <w:t xml:space="preserve">more represented </w:t>
      </w:r>
      <w:r w:rsidR="007C3AF6">
        <w:t xml:space="preserve">only </w:t>
      </w:r>
      <w:r w:rsidR="00454D2E">
        <w:t xml:space="preserve">in </w:t>
      </w:r>
      <w:r w:rsidR="000F469B">
        <w:t xml:space="preserve">the </w:t>
      </w:r>
      <w:r w:rsidR="00454D2E">
        <w:t>5</w:t>
      </w:r>
      <w:r w:rsidR="00454D2E" w:rsidRPr="00454D2E">
        <w:rPr>
          <w:vertAlign w:val="superscript"/>
        </w:rPr>
        <w:t>th</w:t>
      </w:r>
      <w:r w:rsidR="00454D2E">
        <w:t xml:space="preserve"> level of</w:t>
      </w:r>
      <w:r>
        <w:t xml:space="preserve"> </w:t>
      </w:r>
      <w:r w:rsidR="00FE7B0C">
        <w:t xml:space="preserve">the </w:t>
      </w:r>
      <w:r>
        <w:t>affective domain</w:t>
      </w:r>
      <w:r w:rsidR="007C3AF6">
        <w:t>.</w:t>
      </w:r>
    </w:p>
    <w:p w:rsidR="00FE7B0C" w:rsidRDefault="00C37E2C" w:rsidP="000B5976">
      <w:pPr>
        <w:pStyle w:val="INF15-BodyText"/>
      </w:pPr>
      <w:r>
        <w:t xml:space="preserve">As it is shown in Table 2, psychomotor domain is the </w:t>
      </w:r>
      <w:r w:rsidR="00E13D1B">
        <w:t>least represented one, with only 1</w:t>
      </w:r>
      <w:r w:rsidR="00A76865">
        <w:t>2</w:t>
      </w:r>
      <w:r w:rsidR="00E13D1B">
        <w:t xml:space="preserve">% of </w:t>
      </w:r>
      <w:r w:rsidR="004B713C">
        <w:t xml:space="preserve">learning outcomes, versus 53% in cognitive and 35% in affective domain. </w:t>
      </w:r>
      <w:r w:rsidR="00783091">
        <w:t xml:space="preserve">Thus, </w:t>
      </w:r>
      <w:r w:rsidR="004C04E4">
        <w:t xml:space="preserve">each increase in action verb usage has strong influence on </w:t>
      </w:r>
      <w:r w:rsidR="00792D97">
        <w:t xml:space="preserve">study level </w:t>
      </w:r>
      <w:r w:rsidR="001F7180">
        <w:t xml:space="preserve">representation in that domain. </w:t>
      </w:r>
      <w:r w:rsidR="00BA2079">
        <w:t xml:space="preserve">It is noticeable that graduate studies </w:t>
      </w:r>
      <w:r w:rsidR="002C5C3F">
        <w:t>are more represented from 3</w:t>
      </w:r>
      <w:r w:rsidR="002C5C3F" w:rsidRPr="002C5C3F">
        <w:rPr>
          <w:vertAlign w:val="superscript"/>
        </w:rPr>
        <w:t>rd</w:t>
      </w:r>
      <w:r w:rsidR="002C5C3F">
        <w:t xml:space="preserve"> to 7</w:t>
      </w:r>
      <w:r w:rsidR="002C5C3F" w:rsidRPr="002C5C3F">
        <w:rPr>
          <w:vertAlign w:val="superscript"/>
        </w:rPr>
        <w:t>th</w:t>
      </w:r>
      <w:r w:rsidR="002C5C3F">
        <w:t xml:space="preserve"> level of </w:t>
      </w:r>
      <w:r w:rsidR="00870E27">
        <w:t xml:space="preserve">the </w:t>
      </w:r>
      <w:r w:rsidR="004950B7">
        <w:t>psychomotor domain.</w:t>
      </w:r>
    </w:p>
    <w:p w:rsidR="00144A19" w:rsidRDefault="003A1502" w:rsidP="000B5976">
      <w:pPr>
        <w:pStyle w:val="INF15-BodyText"/>
      </w:pPr>
      <w:r>
        <w:t>D</w:t>
      </w:r>
      <w:r w:rsidR="00DA2D97">
        <w:t xml:space="preserve">ifference in </w:t>
      </w:r>
      <w:r w:rsidR="00144A19">
        <w:t>distribution</w:t>
      </w:r>
      <w:r w:rsidR="00DA2D97">
        <w:t>s</w:t>
      </w:r>
      <w:r w:rsidR="00144A19">
        <w:t xml:space="preserve"> between outcome and study levels </w:t>
      </w:r>
      <w:r>
        <w:t xml:space="preserve">is statistically </w:t>
      </w:r>
      <w:r w:rsidR="0048099F">
        <w:t xml:space="preserve">significant; calculated </w:t>
      </w:r>
      <w:r w:rsidR="007F23CC">
        <w:t xml:space="preserve">Chi-Square value was 61.95, which is </w:t>
      </w:r>
      <w:r w:rsidR="00275E0A">
        <w:t>above</w:t>
      </w:r>
      <w:r w:rsidR="007F23CC">
        <w:t xml:space="preserve"> </w:t>
      </w:r>
      <w:r w:rsidR="00275E0A">
        <w:t xml:space="preserve">critical </w:t>
      </w:r>
      <w:r w:rsidR="00275E0A">
        <w:lastRenderedPageBreak/>
        <w:t>value of 26.3</w:t>
      </w:r>
      <w:r w:rsidR="009511B8">
        <w:t xml:space="preserve"> with 16 degrees of freedom</w:t>
      </w:r>
      <w:r w:rsidR="003178BE">
        <w:t>.</w:t>
      </w:r>
      <w:r w:rsidR="00E72CA2">
        <w:t xml:space="preserve"> </w:t>
      </w:r>
      <w:r w:rsidR="003178BE">
        <w:t xml:space="preserve">The </w:t>
      </w:r>
      <w:r w:rsidR="00E72CA2">
        <w:t xml:space="preserve">null hypothesis (there is no difference between distributions) </w:t>
      </w:r>
      <w:r w:rsidR="003178BE">
        <w:t xml:space="preserve">is rejected </w:t>
      </w:r>
      <w:r w:rsidR="00E72CA2">
        <w:t>and the alternative hypothesis (there exists a difference between distributions)</w:t>
      </w:r>
      <w:r w:rsidR="003178BE">
        <w:t xml:space="preserve"> is accepted</w:t>
      </w:r>
      <w:r w:rsidR="00E72CA2">
        <w:t>.</w:t>
      </w:r>
    </w:p>
    <w:p w:rsidR="00487D5E" w:rsidRDefault="00487D5E" w:rsidP="006268FB">
      <w:pPr>
        <w:pStyle w:val="INF15-SingleSpace"/>
      </w:pPr>
    </w:p>
    <w:p w:rsidR="00252187" w:rsidRDefault="006268FB" w:rsidP="006268FB">
      <w:pPr>
        <w:pStyle w:val="INF15-Subtitle2"/>
      </w:pPr>
      <w:r>
        <w:t>Differences between levels of the same study</w:t>
      </w:r>
    </w:p>
    <w:p w:rsidR="00252187" w:rsidRDefault="00252187" w:rsidP="00252187">
      <w:pPr>
        <w:pStyle w:val="INF15-SingleSpace"/>
      </w:pPr>
    </w:p>
    <w:p w:rsidR="00252187" w:rsidRDefault="00252187" w:rsidP="00252187">
      <w:pPr>
        <w:pStyle w:val="INF15-BodyText"/>
      </w:pPr>
      <w:r>
        <w:t xml:space="preserve">Data was also analysed to determine differences from undergraduate to graduate level of the same study (e.g. </w:t>
      </w:r>
      <w:r w:rsidR="00061A04">
        <w:t xml:space="preserve">from </w:t>
      </w:r>
      <w:r w:rsidRPr="00FA7BB5">
        <w:rPr>
          <w:i/>
        </w:rPr>
        <w:t>Undergraduate study of Information sciences</w:t>
      </w:r>
      <w:r>
        <w:t xml:space="preserve"> </w:t>
      </w:r>
      <w:r w:rsidR="00061A04">
        <w:t>to</w:t>
      </w:r>
      <w:r>
        <w:t xml:space="preserve"> </w:t>
      </w:r>
      <w:r w:rsidR="0035702C" w:rsidRPr="0035702C">
        <w:rPr>
          <w:i/>
        </w:rPr>
        <w:t>Graduate study of Informatics – Teaching-oriented study</w:t>
      </w:r>
      <w:r>
        <w:t xml:space="preserve">). </w:t>
      </w:r>
      <w:r w:rsidR="0097511E">
        <w:t xml:space="preserve">Values of learning outcomes were summed together for each study level, </w:t>
      </w:r>
      <w:r w:rsidR="00404217">
        <w:t>so study levels</w:t>
      </w:r>
      <w:r w:rsidR="0097511E">
        <w:t xml:space="preserve"> could </w:t>
      </w:r>
      <w:r w:rsidR="00815233">
        <w:t xml:space="preserve">take a value </w:t>
      </w:r>
      <w:r w:rsidR="00DA0C4A">
        <w:t xml:space="preserve">from </w:t>
      </w:r>
      <w:r w:rsidR="00815233">
        <w:t xml:space="preserve">the interval [1, 15]. </w:t>
      </w:r>
      <w:r w:rsidR="0035702C">
        <w:t xml:space="preserve">The increment was calculated so that the </w:t>
      </w:r>
      <w:r w:rsidR="005C1C1C">
        <w:t xml:space="preserve">final value </w:t>
      </w:r>
      <w:r w:rsidR="0035702C">
        <w:t>of</w:t>
      </w:r>
      <w:r w:rsidR="005C1C1C">
        <w:t xml:space="preserve"> the </w:t>
      </w:r>
      <w:r w:rsidR="0035702C">
        <w:t>under</w:t>
      </w:r>
      <w:r w:rsidR="005C1C1C">
        <w:t xml:space="preserve">graduate study was </w:t>
      </w:r>
      <w:r w:rsidR="0035702C">
        <w:t>subtracted from the final value of graduate study.</w:t>
      </w:r>
      <w:r w:rsidR="00404217">
        <w:t xml:space="preserve"> For example, final value for the </w:t>
      </w:r>
      <w:r w:rsidR="00404217" w:rsidRPr="00FA7BB5">
        <w:rPr>
          <w:i/>
        </w:rPr>
        <w:t>Undergraduate study of Information sciences</w:t>
      </w:r>
      <w:r w:rsidR="00404217">
        <w:rPr>
          <w:i/>
        </w:rPr>
        <w:t xml:space="preserve"> </w:t>
      </w:r>
      <w:r w:rsidR="00404217">
        <w:t xml:space="preserve">was 7.15, </w:t>
      </w:r>
      <w:r w:rsidR="00825B5B">
        <w:t xml:space="preserve">and </w:t>
      </w:r>
      <w:r w:rsidR="00404217">
        <w:t xml:space="preserve">for the </w:t>
      </w:r>
      <w:r w:rsidR="00404217" w:rsidRPr="00404217">
        <w:rPr>
          <w:i/>
        </w:rPr>
        <w:t>Graduate study</w:t>
      </w:r>
      <w:r w:rsidR="00404217">
        <w:rPr>
          <w:i/>
        </w:rPr>
        <w:t xml:space="preserve"> of Informatics – Teaching-oriented study</w:t>
      </w:r>
      <w:r w:rsidR="008476E7">
        <w:t xml:space="preserve"> was 9.99 (</w:t>
      </w:r>
      <w:r w:rsidR="00404217">
        <w:t xml:space="preserve">increment </w:t>
      </w:r>
      <w:r w:rsidR="009E6AF0">
        <w:t>is 2.83</w:t>
      </w:r>
      <w:r w:rsidR="008476E7">
        <w:t>)</w:t>
      </w:r>
      <w:r w:rsidR="009E6AF0">
        <w:t>.</w:t>
      </w:r>
    </w:p>
    <w:p w:rsidR="008476E7" w:rsidRPr="00404217" w:rsidRDefault="008476E7" w:rsidP="00252187">
      <w:pPr>
        <w:pStyle w:val="INF15-BodyText"/>
      </w:pPr>
      <w:r>
        <w:t xml:space="preserve">The </w:t>
      </w:r>
      <w:r w:rsidR="00DC37A9">
        <w:t xml:space="preserve">importance of </w:t>
      </w:r>
      <w:r>
        <w:t xml:space="preserve">increment </w:t>
      </w:r>
      <w:r w:rsidR="00DC37A9">
        <w:t xml:space="preserve">is that it </w:t>
      </w:r>
      <w:r w:rsidR="005A770C">
        <w:t xml:space="preserve">is a measure that </w:t>
      </w:r>
      <w:r>
        <w:t xml:space="preserve">shows </w:t>
      </w:r>
      <w:r w:rsidR="005A770C">
        <w:t xml:space="preserve">how much </w:t>
      </w:r>
      <w:r w:rsidR="00021F25">
        <w:t xml:space="preserve">a </w:t>
      </w:r>
      <w:r w:rsidR="005A770C">
        <w:t xml:space="preserve">graduate level of study </w:t>
      </w:r>
      <w:r w:rsidR="00021F25">
        <w:t xml:space="preserve">is </w:t>
      </w:r>
      <w:r w:rsidR="005A770C">
        <w:t xml:space="preserve">above </w:t>
      </w:r>
      <w:r w:rsidR="00021F25">
        <w:t xml:space="preserve">an </w:t>
      </w:r>
      <w:r w:rsidR="005A770C">
        <w:t xml:space="preserve">undergraduate level. In </w:t>
      </w:r>
      <w:r w:rsidR="007D0E16">
        <w:t xml:space="preserve">the </w:t>
      </w:r>
      <w:r w:rsidR="005A770C">
        <w:t xml:space="preserve">above example, </w:t>
      </w:r>
      <w:r w:rsidR="0048192C">
        <w:t xml:space="preserve">an </w:t>
      </w:r>
      <w:r w:rsidR="005A770C">
        <w:t xml:space="preserve">increment of 2.83 means that graduate study is almost 3 levels above undergraduate. </w:t>
      </w:r>
      <w:r w:rsidR="00CE3A94">
        <w:t>Those l</w:t>
      </w:r>
      <w:r w:rsidR="005A770C">
        <w:t xml:space="preserve">evels can be </w:t>
      </w:r>
      <w:r w:rsidR="00E52B3F">
        <w:t xml:space="preserve">situated </w:t>
      </w:r>
      <w:r w:rsidR="005A770C">
        <w:t xml:space="preserve">within the same domain, but </w:t>
      </w:r>
      <w:r w:rsidR="00375C5A">
        <w:t xml:space="preserve">a </w:t>
      </w:r>
      <w:r w:rsidR="00CE3A94">
        <w:t>difference</w:t>
      </w:r>
      <w:r w:rsidR="005A770C">
        <w:t xml:space="preserve"> </w:t>
      </w:r>
      <w:r w:rsidR="00CE3A94">
        <w:t xml:space="preserve">may </w:t>
      </w:r>
      <w:r w:rsidR="005A770C">
        <w:t xml:space="preserve">be </w:t>
      </w:r>
      <w:r w:rsidR="00F31053">
        <w:t>caused</w:t>
      </w:r>
      <w:r w:rsidR="00614B72">
        <w:t xml:space="preserve"> by </w:t>
      </w:r>
      <w:r w:rsidR="005A770C">
        <w:t>any combination of levels.</w:t>
      </w:r>
    </w:p>
    <w:p w:rsidR="00565E5A" w:rsidRDefault="0035702C" w:rsidP="00252187">
      <w:pPr>
        <w:pStyle w:val="INF15-BodyText"/>
      </w:pPr>
      <w:r>
        <w:t>Figure 3 shows the number of courses in each increment interval</w:t>
      </w:r>
      <w:r w:rsidR="00574D23">
        <w:t xml:space="preserve">. It can be seen that there are </w:t>
      </w:r>
      <w:r w:rsidR="00B278D5">
        <w:t>seven</w:t>
      </w:r>
      <w:r w:rsidR="00574D23">
        <w:t xml:space="preserve"> courses with almost no change in outcome levels, </w:t>
      </w:r>
      <w:r w:rsidR="009B08C3">
        <w:t>for</w:t>
      </w:r>
      <w:r w:rsidR="00995C63">
        <w:t xml:space="preserve"> </w:t>
      </w:r>
      <w:r w:rsidR="00574D23">
        <w:t xml:space="preserve">which </w:t>
      </w:r>
      <w:r w:rsidR="00A27851">
        <w:t xml:space="preserve">the increment </w:t>
      </w:r>
      <w:r w:rsidR="00910FED">
        <w:t xml:space="preserve">takes value </w:t>
      </w:r>
      <w:r w:rsidR="00A27851">
        <w:t>between 0 and 0.5</w:t>
      </w:r>
      <w:r w:rsidR="00AF54ED">
        <w:t xml:space="preserve"> (</w:t>
      </w:r>
      <w:r w:rsidR="00565E5A">
        <w:t>dashed</w:t>
      </w:r>
      <w:r w:rsidR="00AF54ED">
        <w:t xml:space="preserve"> </w:t>
      </w:r>
      <w:r w:rsidR="00565E5A">
        <w:t xml:space="preserve">vertical </w:t>
      </w:r>
      <w:r w:rsidR="00EB7399">
        <w:t>line)</w:t>
      </w:r>
      <w:r w:rsidR="00A27851">
        <w:t>.</w:t>
      </w:r>
      <w:r w:rsidR="009F5E55">
        <w:t xml:space="preserve"> </w:t>
      </w:r>
      <w:r w:rsidR="001D10EB">
        <w:t>Full vertical line represents</w:t>
      </w:r>
      <w:r w:rsidR="00C9333C">
        <w:t xml:space="preserve"> an</w:t>
      </w:r>
      <w:r w:rsidR="001D10EB">
        <w:t xml:space="preserve"> average increment value</w:t>
      </w:r>
      <w:r w:rsidR="00D65AB0">
        <w:t>, which is 1.74.</w:t>
      </w:r>
    </w:p>
    <w:p w:rsidR="00252187" w:rsidRPr="00252187" w:rsidRDefault="00252187" w:rsidP="00252187">
      <w:pPr>
        <w:pStyle w:val="INF15-BodyText"/>
      </w:pPr>
    </w:p>
    <w:p w:rsidR="006C3FD8" w:rsidRDefault="006C3FD8" w:rsidP="00815761">
      <w:pPr>
        <w:pStyle w:val="INF15-BodyText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11E4">
        <w:rPr>
          <w:noProof/>
        </w:rPr>
        <w:t>3</w:t>
      </w:r>
      <w:r>
        <w:fldChar w:fldCharType="end"/>
      </w:r>
      <w:r>
        <w:t xml:space="preserve">: </w:t>
      </w:r>
      <w:r w:rsidRPr="00B53A92">
        <w:t>Increments from undergraduate to graduate studies</w:t>
      </w:r>
    </w:p>
    <w:p w:rsidR="006C3FD8" w:rsidRDefault="00106CDF" w:rsidP="006C3FD8">
      <w:pPr>
        <w:pStyle w:val="INF15-Subtitle2"/>
        <w:keepNext/>
      </w:pPr>
      <w:r>
        <w:rPr>
          <w:noProof/>
          <w:lang w:val="hr-HR" w:eastAsia="hr-HR"/>
        </w:rPr>
        <w:drawing>
          <wp:inline distT="0" distB="0" distL="0" distR="0" wp14:anchorId="4458607C" wp14:editId="0D7A3E68">
            <wp:extent cx="4499610" cy="2216506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277AB" w:rsidRDefault="00D0125E" w:rsidP="00D0125E">
      <w:pPr>
        <w:pStyle w:val="INF15-BodyText"/>
      </w:pPr>
      <w:r>
        <w:t xml:space="preserve">There are 19 (23%) courses located left of the dashed vertical line, which means they have negative increment and their graduate level is below their </w:t>
      </w:r>
      <w:r>
        <w:lastRenderedPageBreak/>
        <w:t xml:space="preserve">undergraduate level. Detailed analysis showed that the maximum decrement is -1.2 for cognitive, and -1.4 for affective and </w:t>
      </w:r>
      <w:r w:rsidR="005035D2">
        <w:t>psychomotor</w:t>
      </w:r>
      <w:r>
        <w:t xml:space="preserve"> domain</w:t>
      </w:r>
      <w:r w:rsidR="00F34946">
        <w:t>.</w:t>
      </w:r>
    </w:p>
    <w:p w:rsidR="00F34946" w:rsidRDefault="00302A81" w:rsidP="00D0125E">
      <w:pPr>
        <w:pStyle w:val="INF15-BodyText"/>
      </w:pPr>
      <w:r>
        <w:t>Still,</w:t>
      </w:r>
      <w:r w:rsidR="00347DF3">
        <w:t xml:space="preserve"> t</w:t>
      </w:r>
      <w:r w:rsidR="00F34946">
        <w:t xml:space="preserve">he majority of studies </w:t>
      </w:r>
      <w:r w:rsidR="00432D28">
        <w:t xml:space="preserve">have </w:t>
      </w:r>
      <w:r>
        <w:t xml:space="preserve">positive increment; 70% of </w:t>
      </w:r>
      <w:r w:rsidR="00FC3D88">
        <w:t>them</w:t>
      </w:r>
      <w:r>
        <w:t xml:space="preserve"> </w:t>
      </w:r>
      <w:r w:rsidR="00032474">
        <w:t>have</w:t>
      </w:r>
      <w:r w:rsidR="00F34946">
        <w:t xml:space="preserve"> increment</w:t>
      </w:r>
      <w:r w:rsidR="00EF4A31">
        <w:t xml:space="preserve"> </w:t>
      </w:r>
      <w:r w:rsidR="00347DF3">
        <w:t>greater than 0.5</w:t>
      </w:r>
      <w:r w:rsidR="00BD5EED">
        <w:t xml:space="preserve">. </w:t>
      </w:r>
      <w:r w:rsidR="00A71B1D">
        <w:t xml:space="preserve">The greatest increment was </w:t>
      </w:r>
      <w:r w:rsidR="00AF3A1F">
        <w:t xml:space="preserve">6.7 that </w:t>
      </w:r>
      <w:r w:rsidR="0069373E">
        <w:t>is</w:t>
      </w:r>
      <w:r w:rsidR="00145DE6">
        <w:t xml:space="preserve"> quite surprising</w:t>
      </w:r>
      <w:r w:rsidR="00FD2E49">
        <w:t xml:space="preserve">, </w:t>
      </w:r>
      <w:r w:rsidR="00E87C85">
        <w:t>as it</w:t>
      </w:r>
      <w:r w:rsidR="00FD2E49">
        <w:t xml:space="preserve"> shows </w:t>
      </w:r>
      <w:r w:rsidR="00E87C85">
        <w:t xml:space="preserve">a </w:t>
      </w:r>
      <w:r w:rsidR="00FD2E49">
        <w:t xml:space="preserve">big leap from undergraduate to graduate level. </w:t>
      </w:r>
      <w:r w:rsidR="0069373E">
        <w:t xml:space="preserve">It </w:t>
      </w:r>
      <w:r w:rsidR="008E3DB5">
        <w:t xml:space="preserve">is </w:t>
      </w:r>
      <w:r w:rsidR="003F08EA">
        <w:t xml:space="preserve">composed of </w:t>
      </w:r>
      <w:r w:rsidR="00B74D30">
        <w:t xml:space="preserve">the </w:t>
      </w:r>
      <w:bookmarkStart w:id="0" w:name="_GoBack"/>
      <w:bookmarkEnd w:id="0"/>
      <w:r w:rsidR="003F08EA">
        <w:t>following increments: 2.27 in cognitive, 1.00 in effective and 3.42 in psychomotor domain.</w:t>
      </w:r>
    </w:p>
    <w:p w:rsidR="00D31702" w:rsidRDefault="00D31702" w:rsidP="00D31702">
      <w:pPr>
        <w:pStyle w:val="INF15-SingleSpace"/>
      </w:pPr>
    </w:p>
    <w:p w:rsidR="003F71ED" w:rsidRDefault="003F71ED" w:rsidP="00D31702">
      <w:pPr>
        <w:pStyle w:val="INF15-Subtitle1"/>
      </w:pPr>
      <w:r>
        <w:t>Differences between single and double major studies</w:t>
      </w:r>
    </w:p>
    <w:p w:rsidR="003F71ED" w:rsidRDefault="003F71ED" w:rsidP="003F71ED">
      <w:pPr>
        <w:pStyle w:val="INF15-SingleSpace"/>
      </w:pPr>
    </w:p>
    <w:p w:rsidR="00D06F8B" w:rsidRDefault="002A2FFC" w:rsidP="00D06F8B">
      <w:pPr>
        <w:pStyle w:val="INF15-BodyText"/>
      </w:pPr>
      <w:r>
        <w:t xml:space="preserve">Double major studies are generally combined with </w:t>
      </w:r>
    </w:p>
    <w:p w:rsidR="00E011E4" w:rsidRDefault="00E011E4" w:rsidP="00E011E4">
      <w:pPr>
        <w:pStyle w:val="INF15-BodyText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5A417E">
        <w:t xml:space="preserve">Relationship between </w:t>
      </w:r>
      <w:r>
        <w:t>single and double major studies</w:t>
      </w:r>
    </w:p>
    <w:p w:rsidR="00487D5E" w:rsidRPr="005277AB" w:rsidRDefault="003F71ED" w:rsidP="003F71ED">
      <w:pPr>
        <w:pStyle w:val="INF15-BodyText"/>
      </w:pPr>
      <w:r>
        <w:rPr>
          <w:noProof/>
          <w:lang w:val="hr-HR" w:eastAsia="hr-HR"/>
        </w:rPr>
        <w:drawing>
          <wp:inline distT="0" distB="0" distL="0" distR="0" wp14:anchorId="433D6890" wp14:editId="7A9B19E1">
            <wp:extent cx="4499610" cy="2360295"/>
            <wp:effectExtent l="0" t="0" r="0" b="19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277AB">
        <w:tab/>
      </w:r>
    </w:p>
    <w:sectPr w:rsidR="00487D5E" w:rsidRPr="005277AB" w:rsidSect="00450DED">
      <w:headerReference w:type="even" r:id="rId12"/>
      <w:headerReference w:type="default" r:id="rId13"/>
      <w:footerReference w:type="first" r:id="rId14"/>
      <w:pgSz w:w="11906" w:h="16838" w:code="9"/>
      <w:pgMar w:top="2948" w:right="2410" w:bottom="2948" w:left="2410" w:header="2580" w:footer="263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896" w:rsidRDefault="00592896">
      <w:r>
        <w:separator/>
      </w:r>
    </w:p>
  </w:endnote>
  <w:endnote w:type="continuationSeparator" w:id="0">
    <w:p w:rsidR="00592896" w:rsidRDefault="0059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02" w:rsidRDefault="00353702" w:rsidP="003A010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896" w:rsidRDefault="00592896">
      <w:r>
        <w:separator/>
      </w:r>
    </w:p>
  </w:footnote>
  <w:footnote w:type="continuationSeparator" w:id="0">
    <w:p w:rsidR="00592896" w:rsidRDefault="00592896">
      <w:r>
        <w:continuationSeparator/>
      </w:r>
    </w:p>
  </w:footnote>
  <w:footnote w:id="1">
    <w:p w:rsidR="009C6584" w:rsidRPr="001F6345" w:rsidRDefault="009C6584" w:rsidP="009C6584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1F6345">
        <w:t>http://www.unizd.hr/Portals/0/bolonjski_proces/pdf/Vodic_za_korisnike_ECTS-a.pdf</w:t>
      </w:r>
    </w:p>
  </w:footnote>
  <w:footnote w:id="2">
    <w:p w:rsidR="000E25DC" w:rsidRPr="000E25DC" w:rsidRDefault="000E25DC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0E25DC">
        <w:rPr>
          <w:sz w:val="18"/>
        </w:rPr>
        <w:t>http://www.makeyourmark.edu.au/study-options/choosing-what-to-study/levels-of-study/</w:t>
      </w:r>
    </w:p>
  </w:footnote>
  <w:footnote w:id="3">
    <w:p w:rsidR="000E25DC" w:rsidRPr="000E25DC" w:rsidRDefault="000E25DC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 w:rsidRPr="000E25DC">
        <w:t>https://ec.europa.eu/ploteus/content/descriptors-page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02" w:rsidRPr="00327DCC" w:rsidRDefault="00B20B95" w:rsidP="003A0102">
    <w:pPr>
      <w:pBdr>
        <w:bottom w:val="single" w:sz="4" w:space="1" w:color="auto"/>
      </w:pBdr>
      <w:rPr>
        <w:rFonts w:ascii="Arial" w:hAnsi="Arial" w:cs="Arial"/>
        <w:sz w:val="16"/>
        <w:szCs w:val="16"/>
        <w:lang w:val="en-US"/>
      </w:rPr>
    </w:pPr>
    <w:r w:rsidRPr="00327DCC">
      <w:rPr>
        <w:rFonts w:ascii="Arial" w:hAnsi="Arial" w:cs="Arial"/>
        <w:sz w:val="16"/>
        <w:szCs w:val="16"/>
        <w:lang w:val="en-US"/>
      </w:rPr>
      <w:t>INFuture</w:t>
    </w:r>
    <w:r>
      <w:rPr>
        <w:rFonts w:ascii="Arial" w:hAnsi="Arial" w:cs="Arial"/>
        <w:sz w:val="16"/>
        <w:szCs w:val="16"/>
        <w:lang w:val="en-US"/>
      </w:rPr>
      <w:t>2015</w:t>
    </w:r>
    <w:r w:rsidRPr="00327DCC">
      <w:rPr>
        <w:rFonts w:ascii="Arial" w:hAnsi="Arial" w:cs="Arial"/>
        <w:sz w:val="16"/>
        <w:szCs w:val="16"/>
        <w:lang w:val="en-US"/>
      </w:rPr>
      <w:t xml:space="preserve">: </w:t>
    </w:r>
    <w:r w:rsidRPr="005B10BE">
      <w:rPr>
        <w:rFonts w:ascii="Arial" w:hAnsi="Arial" w:cs="Arial"/>
        <w:sz w:val="16"/>
        <w:szCs w:val="16"/>
        <w:lang w:val="en-US"/>
      </w:rPr>
      <w:t>e-Institutions – Openness, Accessibility, and Preservation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702" w:rsidRPr="00D83C6A" w:rsidRDefault="00A45A9B" w:rsidP="00F018F9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L</w:t>
    </w:r>
    <w:r w:rsidRPr="00A45A9B">
      <w:rPr>
        <w:rFonts w:ascii="Arial" w:hAnsi="Arial" w:cs="Arial"/>
        <w:sz w:val="16"/>
        <w:szCs w:val="16"/>
        <w:lang w:val="en-US"/>
      </w:rPr>
      <w:t>earning outcomes</w:t>
    </w:r>
    <w:r>
      <w:rPr>
        <w:rFonts w:ascii="Arial" w:hAnsi="Arial" w:cs="Arial"/>
        <w:sz w:val="16"/>
        <w:szCs w:val="16"/>
        <w:lang w:val="en-US"/>
      </w:rPr>
      <w:t xml:space="preserve">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C8C14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AAE7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BCB2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48D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5CC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0A9C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3640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3897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5AF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44A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23550"/>
    <w:multiLevelType w:val="hybridMultilevel"/>
    <w:tmpl w:val="A440A70C"/>
    <w:lvl w:ilvl="0" w:tplc="F62A5248">
      <w:start w:val="1"/>
      <w:numFmt w:val="bullet"/>
      <w:pStyle w:val="INF15-BulletedLis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91D70"/>
    <w:multiLevelType w:val="multilevel"/>
    <w:tmpl w:val="15E8B12E"/>
    <w:lvl w:ilvl="0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974DB"/>
    <w:multiLevelType w:val="multilevel"/>
    <w:tmpl w:val="A440A70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B6CA6"/>
    <w:multiLevelType w:val="multilevel"/>
    <w:tmpl w:val="A440A70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B3B2A"/>
    <w:multiLevelType w:val="multilevel"/>
    <w:tmpl w:val="A440A70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542D5"/>
    <w:multiLevelType w:val="hybridMultilevel"/>
    <w:tmpl w:val="9DEC08C4"/>
    <w:lvl w:ilvl="0" w:tplc="200CE4C2">
      <w:start w:val="1"/>
      <w:numFmt w:val="bullet"/>
      <w:lvlText w:val="-"/>
      <w:lvlJc w:val="left"/>
      <w:pPr>
        <w:ind w:left="720" w:hanging="360"/>
      </w:pPr>
      <w:rPr>
        <w:rFonts w:ascii="Times New Roman" w:eastAsia="AvantGarde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23F0F"/>
    <w:multiLevelType w:val="hybridMultilevel"/>
    <w:tmpl w:val="CA8A8BEC"/>
    <w:lvl w:ilvl="0" w:tplc="4F9EF6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816FB"/>
    <w:multiLevelType w:val="hybridMultilevel"/>
    <w:tmpl w:val="E048B888"/>
    <w:lvl w:ilvl="0" w:tplc="B9987950">
      <w:start w:val="1"/>
      <w:numFmt w:val="decimal"/>
      <w:pStyle w:val="INF15-Numberedlist"/>
      <w:lvlText w:val="%1."/>
      <w:lvlJc w:val="left"/>
      <w:pPr>
        <w:tabs>
          <w:tab w:val="num" w:pos="567"/>
        </w:tabs>
        <w:ind w:left="567" w:hanging="283"/>
      </w:pPr>
      <w:rPr>
        <w:rFonts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22352"/>
    <w:multiLevelType w:val="multilevel"/>
    <w:tmpl w:val="A440A70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92353"/>
    <w:multiLevelType w:val="multilevel"/>
    <w:tmpl w:val="CA8A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D140A"/>
    <w:multiLevelType w:val="hybridMultilevel"/>
    <w:tmpl w:val="15E8B12E"/>
    <w:lvl w:ilvl="0" w:tplc="2D5EDEDA">
      <w:start w:val="1"/>
      <w:numFmt w:val="bullet"/>
      <w:lvlText w:val=""/>
      <w:lvlJc w:val="left"/>
      <w:pPr>
        <w:tabs>
          <w:tab w:val="num" w:pos="284"/>
        </w:tabs>
        <w:ind w:left="284" w:firstLine="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50EBF"/>
    <w:multiLevelType w:val="multilevel"/>
    <w:tmpl w:val="A440A70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0"/>
  </w:num>
  <w:num w:numId="4">
    <w:abstractNumId w:val="11"/>
  </w:num>
  <w:num w:numId="5">
    <w:abstractNumId w:val="10"/>
  </w:num>
  <w:num w:numId="6">
    <w:abstractNumId w:val="21"/>
  </w:num>
  <w:num w:numId="7">
    <w:abstractNumId w:val="13"/>
  </w:num>
  <w:num w:numId="8">
    <w:abstractNumId w:val="14"/>
  </w:num>
  <w:num w:numId="9">
    <w:abstractNumId w:val="18"/>
  </w:num>
  <w:num w:numId="10">
    <w:abstractNumId w:val="12"/>
  </w:num>
  <w:num w:numId="11">
    <w:abstractNumId w:val="17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57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ED"/>
    <w:rsid w:val="00004EC4"/>
    <w:rsid w:val="00007EB1"/>
    <w:rsid w:val="00010854"/>
    <w:rsid w:val="000142FF"/>
    <w:rsid w:val="000161A2"/>
    <w:rsid w:val="000213B8"/>
    <w:rsid w:val="00021CEC"/>
    <w:rsid w:val="00021F25"/>
    <w:rsid w:val="00022582"/>
    <w:rsid w:val="00025790"/>
    <w:rsid w:val="00031362"/>
    <w:rsid w:val="00032474"/>
    <w:rsid w:val="00032834"/>
    <w:rsid w:val="00032E1A"/>
    <w:rsid w:val="00033736"/>
    <w:rsid w:val="0004451C"/>
    <w:rsid w:val="00046142"/>
    <w:rsid w:val="000516AF"/>
    <w:rsid w:val="00052E0D"/>
    <w:rsid w:val="00055E6D"/>
    <w:rsid w:val="00061A04"/>
    <w:rsid w:val="00063CC4"/>
    <w:rsid w:val="000731C2"/>
    <w:rsid w:val="00074F7B"/>
    <w:rsid w:val="000867EB"/>
    <w:rsid w:val="00093A16"/>
    <w:rsid w:val="000A33B6"/>
    <w:rsid w:val="000A4FDA"/>
    <w:rsid w:val="000A700C"/>
    <w:rsid w:val="000B5976"/>
    <w:rsid w:val="000B7BC5"/>
    <w:rsid w:val="000C51F5"/>
    <w:rsid w:val="000C7760"/>
    <w:rsid w:val="000D31E1"/>
    <w:rsid w:val="000E25DC"/>
    <w:rsid w:val="000E534E"/>
    <w:rsid w:val="000F3CD4"/>
    <w:rsid w:val="000F469B"/>
    <w:rsid w:val="000F7862"/>
    <w:rsid w:val="00106CDF"/>
    <w:rsid w:val="0011261D"/>
    <w:rsid w:val="0012319D"/>
    <w:rsid w:val="001236B5"/>
    <w:rsid w:val="00130C92"/>
    <w:rsid w:val="001404EA"/>
    <w:rsid w:val="00140E0A"/>
    <w:rsid w:val="00144A19"/>
    <w:rsid w:val="00145DE6"/>
    <w:rsid w:val="001541E5"/>
    <w:rsid w:val="00166338"/>
    <w:rsid w:val="00167B72"/>
    <w:rsid w:val="001717D2"/>
    <w:rsid w:val="00174F9D"/>
    <w:rsid w:val="00191229"/>
    <w:rsid w:val="001B4438"/>
    <w:rsid w:val="001B5365"/>
    <w:rsid w:val="001C3B79"/>
    <w:rsid w:val="001C3BDF"/>
    <w:rsid w:val="001C746F"/>
    <w:rsid w:val="001D10EB"/>
    <w:rsid w:val="001D3917"/>
    <w:rsid w:val="001E5F37"/>
    <w:rsid w:val="001F0DCF"/>
    <w:rsid w:val="001F1B1A"/>
    <w:rsid w:val="001F5E83"/>
    <w:rsid w:val="001F6345"/>
    <w:rsid w:val="001F6D9C"/>
    <w:rsid w:val="001F7180"/>
    <w:rsid w:val="00201110"/>
    <w:rsid w:val="002054CA"/>
    <w:rsid w:val="00206906"/>
    <w:rsid w:val="002135EE"/>
    <w:rsid w:val="002149F1"/>
    <w:rsid w:val="0022470E"/>
    <w:rsid w:val="00241A48"/>
    <w:rsid w:val="0025043A"/>
    <w:rsid w:val="00252187"/>
    <w:rsid w:val="00254718"/>
    <w:rsid w:val="00260FF2"/>
    <w:rsid w:val="00262B86"/>
    <w:rsid w:val="00262E1A"/>
    <w:rsid w:val="00263856"/>
    <w:rsid w:val="002700CB"/>
    <w:rsid w:val="00271F76"/>
    <w:rsid w:val="00275E0A"/>
    <w:rsid w:val="00282D23"/>
    <w:rsid w:val="00285726"/>
    <w:rsid w:val="002905B7"/>
    <w:rsid w:val="002A2FFC"/>
    <w:rsid w:val="002A47D2"/>
    <w:rsid w:val="002A4874"/>
    <w:rsid w:val="002B5BD8"/>
    <w:rsid w:val="002B71FC"/>
    <w:rsid w:val="002C351E"/>
    <w:rsid w:val="002C381A"/>
    <w:rsid w:val="002C3F53"/>
    <w:rsid w:val="002C5C3F"/>
    <w:rsid w:val="002D0D97"/>
    <w:rsid w:val="002D253F"/>
    <w:rsid w:val="002E258E"/>
    <w:rsid w:val="002E2C5A"/>
    <w:rsid w:val="002E3FCF"/>
    <w:rsid w:val="002E64CE"/>
    <w:rsid w:val="002F46DD"/>
    <w:rsid w:val="002F4ADE"/>
    <w:rsid w:val="003016C3"/>
    <w:rsid w:val="00302A81"/>
    <w:rsid w:val="003132AE"/>
    <w:rsid w:val="003178BE"/>
    <w:rsid w:val="00327DCC"/>
    <w:rsid w:val="00332C9B"/>
    <w:rsid w:val="00333E18"/>
    <w:rsid w:val="00347DF3"/>
    <w:rsid w:val="00351CD4"/>
    <w:rsid w:val="00352853"/>
    <w:rsid w:val="00353702"/>
    <w:rsid w:val="003553E4"/>
    <w:rsid w:val="0035702C"/>
    <w:rsid w:val="0035797E"/>
    <w:rsid w:val="00362EC1"/>
    <w:rsid w:val="00375C5A"/>
    <w:rsid w:val="0038052C"/>
    <w:rsid w:val="00381B05"/>
    <w:rsid w:val="003823E7"/>
    <w:rsid w:val="00390BAC"/>
    <w:rsid w:val="00394B0D"/>
    <w:rsid w:val="003A0102"/>
    <w:rsid w:val="003A1502"/>
    <w:rsid w:val="003A1790"/>
    <w:rsid w:val="003A20CA"/>
    <w:rsid w:val="003B1416"/>
    <w:rsid w:val="003C524C"/>
    <w:rsid w:val="003F08EA"/>
    <w:rsid w:val="003F461D"/>
    <w:rsid w:val="003F71ED"/>
    <w:rsid w:val="00404217"/>
    <w:rsid w:val="00406D74"/>
    <w:rsid w:val="0041075B"/>
    <w:rsid w:val="0042002A"/>
    <w:rsid w:val="0042655C"/>
    <w:rsid w:val="00426AF8"/>
    <w:rsid w:val="00426C53"/>
    <w:rsid w:val="00432D28"/>
    <w:rsid w:val="004345DE"/>
    <w:rsid w:val="00440408"/>
    <w:rsid w:val="004418C1"/>
    <w:rsid w:val="00443F14"/>
    <w:rsid w:val="00450DED"/>
    <w:rsid w:val="00450FA8"/>
    <w:rsid w:val="004516C2"/>
    <w:rsid w:val="00454D2E"/>
    <w:rsid w:val="00464ED9"/>
    <w:rsid w:val="004736B6"/>
    <w:rsid w:val="0048099F"/>
    <w:rsid w:val="0048192C"/>
    <w:rsid w:val="004849F8"/>
    <w:rsid w:val="00484F9A"/>
    <w:rsid w:val="00487D5E"/>
    <w:rsid w:val="004950B7"/>
    <w:rsid w:val="004A7F01"/>
    <w:rsid w:val="004B11C8"/>
    <w:rsid w:val="004B713C"/>
    <w:rsid w:val="004B7622"/>
    <w:rsid w:val="004C04E4"/>
    <w:rsid w:val="004D0091"/>
    <w:rsid w:val="004D03F3"/>
    <w:rsid w:val="004D1395"/>
    <w:rsid w:val="004D1F6D"/>
    <w:rsid w:val="004D2AE8"/>
    <w:rsid w:val="004D382E"/>
    <w:rsid w:val="004F432C"/>
    <w:rsid w:val="00502326"/>
    <w:rsid w:val="005035D2"/>
    <w:rsid w:val="0051355F"/>
    <w:rsid w:val="005159C2"/>
    <w:rsid w:val="005230A3"/>
    <w:rsid w:val="00524236"/>
    <w:rsid w:val="00525CCA"/>
    <w:rsid w:val="005277AB"/>
    <w:rsid w:val="00536113"/>
    <w:rsid w:val="0054133D"/>
    <w:rsid w:val="00541AA4"/>
    <w:rsid w:val="00541D4C"/>
    <w:rsid w:val="00542CFB"/>
    <w:rsid w:val="0054301F"/>
    <w:rsid w:val="00550A5E"/>
    <w:rsid w:val="005524E7"/>
    <w:rsid w:val="00561536"/>
    <w:rsid w:val="00565E5A"/>
    <w:rsid w:val="00574D23"/>
    <w:rsid w:val="0058096F"/>
    <w:rsid w:val="00582BF6"/>
    <w:rsid w:val="00592896"/>
    <w:rsid w:val="0059459B"/>
    <w:rsid w:val="005A0DE4"/>
    <w:rsid w:val="005A2B68"/>
    <w:rsid w:val="005A770C"/>
    <w:rsid w:val="005C1C1C"/>
    <w:rsid w:val="005C1C6B"/>
    <w:rsid w:val="005C649D"/>
    <w:rsid w:val="005D793C"/>
    <w:rsid w:val="005E01DB"/>
    <w:rsid w:val="005E0434"/>
    <w:rsid w:val="00607D13"/>
    <w:rsid w:val="00614B72"/>
    <w:rsid w:val="006163A1"/>
    <w:rsid w:val="006165C2"/>
    <w:rsid w:val="0062401A"/>
    <w:rsid w:val="00624D61"/>
    <w:rsid w:val="006268FB"/>
    <w:rsid w:val="006275DD"/>
    <w:rsid w:val="006306C8"/>
    <w:rsid w:val="00636E58"/>
    <w:rsid w:val="006436B4"/>
    <w:rsid w:val="00644B4D"/>
    <w:rsid w:val="0065198D"/>
    <w:rsid w:val="00651F7B"/>
    <w:rsid w:val="006608C1"/>
    <w:rsid w:val="006644BF"/>
    <w:rsid w:val="00665FCD"/>
    <w:rsid w:val="00675DE1"/>
    <w:rsid w:val="00680BAA"/>
    <w:rsid w:val="00680EC1"/>
    <w:rsid w:val="00683812"/>
    <w:rsid w:val="006845E1"/>
    <w:rsid w:val="006848AD"/>
    <w:rsid w:val="00690E59"/>
    <w:rsid w:val="0069373E"/>
    <w:rsid w:val="00695590"/>
    <w:rsid w:val="006A0293"/>
    <w:rsid w:val="006A174E"/>
    <w:rsid w:val="006A6E3E"/>
    <w:rsid w:val="006B51B9"/>
    <w:rsid w:val="006C16E6"/>
    <w:rsid w:val="006C3FD8"/>
    <w:rsid w:val="006C443A"/>
    <w:rsid w:val="006C4D12"/>
    <w:rsid w:val="006C4FC7"/>
    <w:rsid w:val="006C6F7E"/>
    <w:rsid w:val="006D1F29"/>
    <w:rsid w:val="006D739F"/>
    <w:rsid w:val="006E2B2C"/>
    <w:rsid w:val="006F48D7"/>
    <w:rsid w:val="006F53AA"/>
    <w:rsid w:val="006F54B9"/>
    <w:rsid w:val="00703948"/>
    <w:rsid w:val="007055FB"/>
    <w:rsid w:val="00706135"/>
    <w:rsid w:val="007426FE"/>
    <w:rsid w:val="00745E66"/>
    <w:rsid w:val="00755023"/>
    <w:rsid w:val="0075515C"/>
    <w:rsid w:val="00762E95"/>
    <w:rsid w:val="00771A7A"/>
    <w:rsid w:val="00781FD5"/>
    <w:rsid w:val="00783091"/>
    <w:rsid w:val="007925F9"/>
    <w:rsid w:val="00792D97"/>
    <w:rsid w:val="007934AE"/>
    <w:rsid w:val="007A1768"/>
    <w:rsid w:val="007A25A4"/>
    <w:rsid w:val="007A5D7A"/>
    <w:rsid w:val="007A6F88"/>
    <w:rsid w:val="007A71C0"/>
    <w:rsid w:val="007B4014"/>
    <w:rsid w:val="007B5ED0"/>
    <w:rsid w:val="007C3AF6"/>
    <w:rsid w:val="007C6F6D"/>
    <w:rsid w:val="007D0E16"/>
    <w:rsid w:val="007E2CF1"/>
    <w:rsid w:val="007E3C34"/>
    <w:rsid w:val="007F23CC"/>
    <w:rsid w:val="007F4F85"/>
    <w:rsid w:val="00810613"/>
    <w:rsid w:val="00811BE3"/>
    <w:rsid w:val="00815233"/>
    <w:rsid w:val="00815761"/>
    <w:rsid w:val="00817EC1"/>
    <w:rsid w:val="00823759"/>
    <w:rsid w:val="0082431A"/>
    <w:rsid w:val="00825B5B"/>
    <w:rsid w:val="00837C59"/>
    <w:rsid w:val="008402C4"/>
    <w:rsid w:val="008414C4"/>
    <w:rsid w:val="008436E1"/>
    <w:rsid w:val="008456FB"/>
    <w:rsid w:val="008476E7"/>
    <w:rsid w:val="00852A3D"/>
    <w:rsid w:val="008531FA"/>
    <w:rsid w:val="00857D07"/>
    <w:rsid w:val="00863F6D"/>
    <w:rsid w:val="00864D86"/>
    <w:rsid w:val="00870E27"/>
    <w:rsid w:val="00873164"/>
    <w:rsid w:val="00874107"/>
    <w:rsid w:val="008902F9"/>
    <w:rsid w:val="0089039B"/>
    <w:rsid w:val="008938CC"/>
    <w:rsid w:val="00894FD2"/>
    <w:rsid w:val="00896575"/>
    <w:rsid w:val="008A5748"/>
    <w:rsid w:val="008D7789"/>
    <w:rsid w:val="008E00B6"/>
    <w:rsid w:val="008E3DB5"/>
    <w:rsid w:val="008F0CAE"/>
    <w:rsid w:val="008F24DE"/>
    <w:rsid w:val="009059F5"/>
    <w:rsid w:val="009069E8"/>
    <w:rsid w:val="00910FED"/>
    <w:rsid w:val="0091240D"/>
    <w:rsid w:val="00920A4C"/>
    <w:rsid w:val="009211C7"/>
    <w:rsid w:val="00926D81"/>
    <w:rsid w:val="00930B62"/>
    <w:rsid w:val="009345F1"/>
    <w:rsid w:val="00935A3C"/>
    <w:rsid w:val="00943A0A"/>
    <w:rsid w:val="00950E2B"/>
    <w:rsid w:val="009511B8"/>
    <w:rsid w:val="009559FF"/>
    <w:rsid w:val="00960462"/>
    <w:rsid w:val="00966F05"/>
    <w:rsid w:val="0097511E"/>
    <w:rsid w:val="00976B56"/>
    <w:rsid w:val="0098269E"/>
    <w:rsid w:val="00995C63"/>
    <w:rsid w:val="009A0FDC"/>
    <w:rsid w:val="009B08C3"/>
    <w:rsid w:val="009C00FC"/>
    <w:rsid w:val="009C0212"/>
    <w:rsid w:val="009C0388"/>
    <w:rsid w:val="009C6584"/>
    <w:rsid w:val="009D1F75"/>
    <w:rsid w:val="009E6AF0"/>
    <w:rsid w:val="009F5E55"/>
    <w:rsid w:val="00A01053"/>
    <w:rsid w:val="00A05BCB"/>
    <w:rsid w:val="00A12328"/>
    <w:rsid w:val="00A1525B"/>
    <w:rsid w:val="00A25308"/>
    <w:rsid w:val="00A256D5"/>
    <w:rsid w:val="00A2782F"/>
    <w:rsid w:val="00A27851"/>
    <w:rsid w:val="00A314D6"/>
    <w:rsid w:val="00A42A84"/>
    <w:rsid w:val="00A45A9B"/>
    <w:rsid w:val="00A550D3"/>
    <w:rsid w:val="00A5714A"/>
    <w:rsid w:val="00A70AA5"/>
    <w:rsid w:val="00A71B1D"/>
    <w:rsid w:val="00A7205C"/>
    <w:rsid w:val="00A76865"/>
    <w:rsid w:val="00A81BFF"/>
    <w:rsid w:val="00A834E9"/>
    <w:rsid w:val="00A94227"/>
    <w:rsid w:val="00A947AA"/>
    <w:rsid w:val="00A94C48"/>
    <w:rsid w:val="00A97521"/>
    <w:rsid w:val="00A97668"/>
    <w:rsid w:val="00AA7CC7"/>
    <w:rsid w:val="00AB0CB0"/>
    <w:rsid w:val="00AB1670"/>
    <w:rsid w:val="00AB31CD"/>
    <w:rsid w:val="00AB38D3"/>
    <w:rsid w:val="00AB5DFF"/>
    <w:rsid w:val="00AB6BAA"/>
    <w:rsid w:val="00AC2757"/>
    <w:rsid w:val="00AD30CB"/>
    <w:rsid w:val="00AE2927"/>
    <w:rsid w:val="00AE48AF"/>
    <w:rsid w:val="00AE4E8C"/>
    <w:rsid w:val="00AF3A1F"/>
    <w:rsid w:val="00AF54ED"/>
    <w:rsid w:val="00AF59FC"/>
    <w:rsid w:val="00B11BD7"/>
    <w:rsid w:val="00B20B95"/>
    <w:rsid w:val="00B23DC2"/>
    <w:rsid w:val="00B278D5"/>
    <w:rsid w:val="00B34B11"/>
    <w:rsid w:val="00B36AC7"/>
    <w:rsid w:val="00B528CF"/>
    <w:rsid w:val="00B645B9"/>
    <w:rsid w:val="00B65823"/>
    <w:rsid w:val="00B67F8D"/>
    <w:rsid w:val="00B74D30"/>
    <w:rsid w:val="00B82F0D"/>
    <w:rsid w:val="00B864E1"/>
    <w:rsid w:val="00B906A0"/>
    <w:rsid w:val="00B94E84"/>
    <w:rsid w:val="00BA2079"/>
    <w:rsid w:val="00BA2ED1"/>
    <w:rsid w:val="00BA46D4"/>
    <w:rsid w:val="00BB07C9"/>
    <w:rsid w:val="00BB085A"/>
    <w:rsid w:val="00BC49DB"/>
    <w:rsid w:val="00BD5EED"/>
    <w:rsid w:val="00BF3CCE"/>
    <w:rsid w:val="00C04FF2"/>
    <w:rsid w:val="00C12D60"/>
    <w:rsid w:val="00C2190A"/>
    <w:rsid w:val="00C37E2C"/>
    <w:rsid w:val="00C413D1"/>
    <w:rsid w:val="00C45048"/>
    <w:rsid w:val="00C50BEC"/>
    <w:rsid w:val="00C65AAF"/>
    <w:rsid w:val="00C747B7"/>
    <w:rsid w:val="00C8327D"/>
    <w:rsid w:val="00C84084"/>
    <w:rsid w:val="00C9154B"/>
    <w:rsid w:val="00C92A0A"/>
    <w:rsid w:val="00C9333C"/>
    <w:rsid w:val="00C93EFE"/>
    <w:rsid w:val="00C95C18"/>
    <w:rsid w:val="00C97583"/>
    <w:rsid w:val="00C976E1"/>
    <w:rsid w:val="00CA2C8C"/>
    <w:rsid w:val="00CA2EDD"/>
    <w:rsid w:val="00CA3282"/>
    <w:rsid w:val="00CA3892"/>
    <w:rsid w:val="00CA610A"/>
    <w:rsid w:val="00CB1259"/>
    <w:rsid w:val="00CB1660"/>
    <w:rsid w:val="00CB26F9"/>
    <w:rsid w:val="00CB3DB3"/>
    <w:rsid w:val="00CB4E16"/>
    <w:rsid w:val="00CB5783"/>
    <w:rsid w:val="00CC084B"/>
    <w:rsid w:val="00CC366C"/>
    <w:rsid w:val="00CC3CE1"/>
    <w:rsid w:val="00CC570B"/>
    <w:rsid w:val="00CD50AD"/>
    <w:rsid w:val="00CD57B2"/>
    <w:rsid w:val="00CE17A7"/>
    <w:rsid w:val="00CE1E79"/>
    <w:rsid w:val="00CE3A94"/>
    <w:rsid w:val="00CE3F44"/>
    <w:rsid w:val="00CE46AE"/>
    <w:rsid w:val="00CE79F5"/>
    <w:rsid w:val="00CF0EA7"/>
    <w:rsid w:val="00CF27B1"/>
    <w:rsid w:val="00D0125E"/>
    <w:rsid w:val="00D06F8B"/>
    <w:rsid w:val="00D1266C"/>
    <w:rsid w:val="00D15C93"/>
    <w:rsid w:val="00D31702"/>
    <w:rsid w:val="00D37C71"/>
    <w:rsid w:val="00D50C67"/>
    <w:rsid w:val="00D57B4D"/>
    <w:rsid w:val="00D63902"/>
    <w:rsid w:val="00D65AB0"/>
    <w:rsid w:val="00D65D31"/>
    <w:rsid w:val="00D678FE"/>
    <w:rsid w:val="00D72E35"/>
    <w:rsid w:val="00D746C2"/>
    <w:rsid w:val="00D81DEA"/>
    <w:rsid w:val="00D83C6A"/>
    <w:rsid w:val="00D84593"/>
    <w:rsid w:val="00D904AD"/>
    <w:rsid w:val="00D929A0"/>
    <w:rsid w:val="00D92D6D"/>
    <w:rsid w:val="00DA0C4A"/>
    <w:rsid w:val="00DA2D97"/>
    <w:rsid w:val="00DA4106"/>
    <w:rsid w:val="00DA51A5"/>
    <w:rsid w:val="00DB1677"/>
    <w:rsid w:val="00DB4EC0"/>
    <w:rsid w:val="00DB71E8"/>
    <w:rsid w:val="00DC03C7"/>
    <w:rsid w:val="00DC177B"/>
    <w:rsid w:val="00DC37A9"/>
    <w:rsid w:val="00DC3857"/>
    <w:rsid w:val="00DD3174"/>
    <w:rsid w:val="00DD4C2D"/>
    <w:rsid w:val="00DE0E20"/>
    <w:rsid w:val="00DE647E"/>
    <w:rsid w:val="00DF1FC0"/>
    <w:rsid w:val="00E011E4"/>
    <w:rsid w:val="00E1177B"/>
    <w:rsid w:val="00E12068"/>
    <w:rsid w:val="00E13D1B"/>
    <w:rsid w:val="00E13D76"/>
    <w:rsid w:val="00E16143"/>
    <w:rsid w:val="00E30753"/>
    <w:rsid w:val="00E31EB3"/>
    <w:rsid w:val="00E326B5"/>
    <w:rsid w:val="00E41DD6"/>
    <w:rsid w:val="00E44169"/>
    <w:rsid w:val="00E46C1B"/>
    <w:rsid w:val="00E52B3F"/>
    <w:rsid w:val="00E5305C"/>
    <w:rsid w:val="00E530EE"/>
    <w:rsid w:val="00E546C0"/>
    <w:rsid w:val="00E575A9"/>
    <w:rsid w:val="00E60B0B"/>
    <w:rsid w:val="00E62F6A"/>
    <w:rsid w:val="00E636A4"/>
    <w:rsid w:val="00E72CA2"/>
    <w:rsid w:val="00E807AB"/>
    <w:rsid w:val="00E83556"/>
    <w:rsid w:val="00E87067"/>
    <w:rsid w:val="00E87C85"/>
    <w:rsid w:val="00E926C8"/>
    <w:rsid w:val="00E92A2E"/>
    <w:rsid w:val="00E93D28"/>
    <w:rsid w:val="00E94E21"/>
    <w:rsid w:val="00EA2D96"/>
    <w:rsid w:val="00EA40E1"/>
    <w:rsid w:val="00EA52FB"/>
    <w:rsid w:val="00EB6001"/>
    <w:rsid w:val="00EB70E5"/>
    <w:rsid w:val="00EB7399"/>
    <w:rsid w:val="00EC2685"/>
    <w:rsid w:val="00ED5E87"/>
    <w:rsid w:val="00EE672F"/>
    <w:rsid w:val="00EF4A31"/>
    <w:rsid w:val="00EF604F"/>
    <w:rsid w:val="00F018F9"/>
    <w:rsid w:val="00F01BE4"/>
    <w:rsid w:val="00F02772"/>
    <w:rsid w:val="00F11261"/>
    <w:rsid w:val="00F15064"/>
    <w:rsid w:val="00F16D32"/>
    <w:rsid w:val="00F17168"/>
    <w:rsid w:val="00F27E26"/>
    <w:rsid w:val="00F30473"/>
    <w:rsid w:val="00F31003"/>
    <w:rsid w:val="00F31053"/>
    <w:rsid w:val="00F32D65"/>
    <w:rsid w:val="00F34946"/>
    <w:rsid w:val="00F35B7F"/>
    <w:rsid w:val="00F37237"/>
    <w:rsid w:val="00F447D3"/>
    <w:rsid w:val="00F4625F"/>
    <w:rsid w:val="00F4773A"/>
    <w:rsid w:val="00F546AA"/>
    <w:rsid w:val="00F54865"/>
    <w:rsid w:val="00F5767A"/>
    <w:rsid w:val="00F577D4"/>
    <w:rsid w:val="00F60A9B"/>
    <w:rsid w:val="00F62CF0"/>
    <w:rsid w:val="00F65BFC"/>
    <w:rsid w:val="00F66B6E"/>
    <w:rsid w:val="00F70D82"/>
    <w:rsid w:val="00F86226"/>
    <w:rsid w:val="00F86DBA"/>
    <w:rsid w:val="00FA16CA"/>
    <w:rsid w:val="00FA23F2"/>
    <w:rsid w:val="00FA3F67"/>
    <w:rsid w:val="00FA7BB5"/>
    <w:rsid w:val="00FB0343"/>
    <w:rsid w:val="00FB2837"/>
    <w:rsid w:val="00FB7341"/>
    <w:rsid w:val="00FB7C25"/>
    <w:rsid w:val="00FC3D88"/>
    <w:rsid w:val="00FD0B0E"/>
    <w:rsid w:val="00FD2E49"/>
    <w:rsid w:val="00FE3410"/>
    <w:rsid w:val="00FE59D7"/>
    <w:rsid w:val="00FE7B0C"/>
    <w:rsid w:val="00FF2E8D"/>
    <w:rsid w:val="00F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B71C285-3F75-4C22-A2E3-A70DBE52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vantGarde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4C"/>
    <w:pPr>
      <w:overflowPunct w:val="0"/>
      <w:autoSpaceDE w:val="0"/>
      <w:autoSpaceDN w:val="0"/>
      <w:adjustRightInd w:val="0"/>
      <w:jc w:val="both"/>
      <w:textAlignment w:val="baseline"/>
    </w:pPr>
    <w:rPr>
      <w:rFonts w:cs="AvantGarde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720"/>
      </w:tabs>
      <w:spacing w:before="120"/>
      <w:outlineLvl w:val="1"/>
    </w:pPr>
    <w:rPr>
      <w:i/>
      <w:snapToGrid w:val="0"/>
    </w:rPr>
  </w:style>
  <w:style w:type="paragraph" w:styleId="Heading3">
    <w:name w:val="heading 3"/>
    <w:basedOn w:val="Normal"/>
    <w:next w:val="Normal"/>
    <w:qFormat/>
    <w:pPr>
      <w:keepNext/>
      <w:spacing w:after="120" w:line="36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after="120" w:line="360" w:lineRule="auto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rFonts w:ascii="Times New Roman" w:hAnsi="Times New Roman"/>
      <w:vertAlign w:val="superscript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eastAsia="Times New Roman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eastAsia="Times New Roman"/>
    </w:rPr>
  </w:style>
  <w:style w:type="table" w:styleId="TableGrid">
    <w:name w:val="Table Grid"/>
    <w:basedOn w:val="TableNormal"/>
    <w:rsid w:val="00FF5D02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A0102"/>
    <w:pPr>
      <w:tabs>
        <w:tab w:val="center" w:pos="4153"/>
        <w:tab w:val="right" w:pos="8306"/>
      </w:tabs>
    </w:pPr>
  </w:style>
  <w:style w:type="paragraph" w:customStyle="1" w:styleId="INF15-MainTitle">
    <w:name w:val="INF15-Main Title"/>
    <w:basedOn w:val="Normal"/>
    <w:rsid w:val="00DC03C7"/>
    <w:pPr>
      <w:jc w:val="center"/>
    </w:pPr>
    <w:rPr>
      <w:b/>
      <w:sz w:val="32"/>
      <w:szCs w:val="32"/>
      <w:lang w:val="hr-HR"/>
    </w:rPr>
  </w:style>
  <w:style w:type="paragraph" w:customStyle="1" w:styleId="INF15-Summary">
    <w:name w:val="INF15-Summary"/>
    <w:basedOn w:val="Normal"/>
    <w:rsid w:val="006A174E"/>
    <w:rPr>
      <w:b/>
    </w:rPr>
  </w:style>
  <w:style w:type="paragraph" w:customStyle="1" w:styleId="INF15-BodyText">
    <w:name w:val="INF15-Body Text"/>
    <w:link w:val="INF15-BodyTextChar"/>
    <w:rsid w:val="00690E59"/>
    <w:pPr>
      <w:jc w:val="both"/>
    </w:pPr>
    <w:rPr>
      <w:rFonts w:cs="AvantGarde"/>
      <w:sz w:val="22"/>
      <w:lang w:val="en-GB" w:eastAsia="en-US"/>
    </w:rPr>
  </w:style>
  <w:style w:type="character" w:customStyle="1" w:styleId="INF15-BodyTextChar">
    <w:name w:val="INF15-Body Text Char"/>
    <w:link w:val="INF15-BodyText"/>
    <w:rsid w:val="00690E59"/>
    <w:rPr>
      <w:rFonts w:eastAsia="AvantGarde" w:cs="AvantGarde"/>
      <w:sz w:val="22"/>
      <w:lang w:val="en-GB" w:eastAsia="en-US" w:bidi="ar-SA"/>
    </w:rPr>
  </w:style>
  <w:style w:type="paragraph" w:customStyle="1" w:styleId="INF15-SummaryBody">
    <w:name w:val="INF15-Summary Body"/>
    <w:basedOn w:val="Normal"/>
    <w:rsid w:val="009D1F75"/>
    <w:rPr>
      <w:i/>
    </w:rPr>
  </w:style>
  <w:style w:type="paragraph" w:customStyle="1" w:styleId="INF15-TableText">
    <w:name w:val="INF15-Table Text"/>
    <w:basedOn w:val="INF15-BodyText"/>
    <w:rsid w:val="00D81DEA"/>
    <w:rPr>
      <w:rFonts w:eastAsia="Times New Roman" w:cs="Times New Roman"/>
      <w:sz w:val="18"/>
    </w:rPr>
  </w:style>
  <w:style w:type="paragraph" w:customStyle="1" w:styleId="INF15-Author">
    <w:name w:val="INF15-Author"/>
    <w:basedOn w:val="Normal"/>
    <w:rsid w:val="006A174E"/>
    <w:pPr>
      <w:jc w:val="center"/>
    </w:pPr>
    <w:rPr>
      <w:szCs w:val="22"/>
    </w:rPr>
  </w:style>
  <w:style w:type="paragraph" w:customStyle="1" w:styleId="INF15-Institution">
    <w:name w:val="INF15-Institution"/>
    <w:basedOn w:val="Normal"/>
    <w:rsid w:val="00CB1660"/>
    <w:pPr>
      <w:jc w:val="center"/>
    </w:pPr>
    <w:rPr>
      <w:rFonts w:eastAsia="Times New Roman" w:cs="Times New Roman"/>
    </w:rPr>
  </w:style>
  <w:style w:type="paragraph" w:customStyle="1" w:styleId="INF15-Address">
    <w:name w:val="INF15-Address"/>
    <w:basedOn w:val="Normal"/>
    <w:rsid w:val="00CB1660"/>
    <w:pPr>
      <w:jc w:val="center"/>
    </w:pPr>
    <w:rPr>
      <w:rFonts w:eastAsia="Times New Roman" w:cs="Times New Roman"/>
      <w:sz w:val="20"/>
    </w:rPr>
  </w:style>
  <w:style w:type="paragraph" w:customStyle="1" w:styleId="INF15-e-mail">
    <w:name w:val="INF15-e-mail"/>
    <w:basedOn w:val="INF15-Address"/>
    <w:rsid w:val="00CB1660"/>
  </w:style>
  <w:style w:type="paragraph" w:customStyle="1" w:styleId="INF15-KeyWords">
    <w:name w:val="INF15-Key Words"/>
    <w:basedOn w:val="INF15-BodyText"/>
    <w:link w:val="INF15-KeyWordsChar"/>
    <w:rsid w:val="006A0293"/>
  </w:style>
  <w:style w:type="character" w:customStyle="1" w:styleId="INF15-KeyWordsChar">
    <w:name w:val="INF15-Key Words Char"/>
    <w:basedOn w:val="INF15-BodyTextChar"/>
    <w:link w:val="INF15-KeyWords"/>
    <w:rsid w:val="00690E59"/>
    <w:rPr>
      <w:rFonts w:eastAsia="AvantGarde" w:cs="AvantGarde"/>
      <w:sz w:val="22"/>
      <w:lang w:val="en-GB" w:eastAsia="en-US" w:bidi="ar-SA"/>
    </w:rPr>
  </w:style>
  <w:style w:type="paragraph" w:customStyle="1" w:styleId="INF15-SingleSpace">
    <w:name w:val="INF15-Single Space"/>
    <w:basedOn w:val="Normal"/>
    <w:rsid w:val="00BA46D4"/>
  </w:style>
  <w:style w:type="paragraph" w:customStyle="1" w:styleId="INF15-Subtitle1">
    <w:name w:val="INF15-Subtitle 1"/>
    <w:rsid w:val="00690E59"/>
    <w:rPr>
      <w:rFonts w:eastAsia="Times New Roman"/>
      <w:b/>
      <w:bCs/>
      <w:sz w:val="24"/>
      <w:lang w:val="en-GB" w:eastAsia="en-US"/>
    </w:rPr>
  </w:style>
  <w:style w:type="paragraph" w:customStyle="1" w:styleId="INF15-BulletedList">
    <w:name w:val="INF15-Bulleted List"/>
    <w:basedOn w:val="INF15-BodyText"/>
    <w:rsid w:val="0065198D"/>
    <w:pPr>
      <w:numPr>
        <w:numId w:val="5"/>
      </w:numPr>
    </w:pPr>
  </w:style>
  <w:style w:type="paragraph" w:customStyle="1" w:styleId="INF15-Subtitle2">
    <w:name w:val="INF15-Subtitle 2"/>
    <w:rsid w:val="00690E59"/>
    <w:rPr>
      <w:rFonts w:eastAsia="Times New Roman"/>
      <w:b/>
      <w:bCs/>
      <w:sz w:val="22"/>
      <w:lang w:val="en-GB" w:eastAsia="en-US"/>
    </w:rPr>
  </w:style>
  <w:style w:type="paragraph" w:customStyle="1" w:styleId="INF15-Subtitle3">
    <w:name w:val="INF15-Subtitle 3"/>
    <w:basedOn w:val="INF15-BodyText"/>
    <w:rsid w:val="00690E59"/>
    <w:rPr>
      <w:i/>
      <w:iCs/>
    </w:rPr>
  </w:style>
  <w:style w:type="paragraph" w:customStyle="1" w:styleId="INF15-Numberedlist">
    <w:name w:val="INF15-Numbered list"/>
    <w:basedOn w:val="INF15-BulletedList"/>
    <w:rsid w:val="00810613"/>
    <w:pPr>
      <w:numPr>
        <w:numId w:val="11"/>
      </w:numPr>
      <w:ind w:left="568" w:hanging="284"/>
    </w:pPr>
  </w:style>
  <w:style w:type="paragraph" w:styleId="Header">
    <w:name w:val="header"/>
    <w:basedOn w:val="Normal"/>
    <w:rsid w:val="00D83C6A"/>
    <w:pPr>
      <w:tabs>
        <w:tab w:val="center" w:pos="4536"/>
        <w:tab w:val="right" w:pos="9072"/>
      </w:tabs>
    </w:pPr>
  </w:style>
  <w:style w:type="paragraph" w:customStyle="1" w:styleId="INF15-Source">
    <w:name w:val="INF15-Source"/>
    <w:basedOn w:val="INF15-BodyText"/>
    <w:link w:val="INF15-SourceChar"/>
    <w:rsid w:val="008F24DE"/>
    <w:rPr>
      <w:sz w:val="18"/>
    </w:rPr>
  </w:style>
  <w:style w:type="character" w:customStyle="1" w:styleId="INF15-SourceChar">
    <w:name w:val="INF15-Source Char"/>
    <w:link w:val="INF15-Source"/>
    <w:rsid w:val="008F24DE"/>
    <w:rPr>
      <w:rFonts w:eastAsia="AvantGarde" w:cs="AvantGarde"/>
      <w:sz w:val="18"/>
      <w:lang w:val="en-GB" w:eastAsia="en-US" w:bidi="ar-SA"/>
    </w:rPr>
  </w:style>
  <w:style w:type="paragraph" w:customStyle="1" w:styleId="INF15-Footnotes">
    <w:name w:val="INF15-Footnotes"/>
    <w:basedOn w:val="Normal"/>
    <w:rsid w:val="00E83556"/>
    <w:pPr>
      <w:spacing w:after="120"/>
    </w:pPr>
    <w:rPr>
      <w:sz w:val="18"/>
      <w:szCs w:val="18"/>
    </w:rPr>
  </w:style>
  <w:style w:type="paragraph" w:customStyle="1" w:styleId="INF15-References">
    <w:name w:val="INF15-References"/>
    <w:basedOn w:val="INF15-BodyText"/>
    <w:rsid w:val="00426C53"/>
    <w:pPr>
      <w:ind w:left="284" w:hanging="284"/>
    </w:pPr>
    <w:rPr>
      <w:rFonts w:eastAsia="Times New Roman" w:cs="Times New Roman"/>
      <w:sz w:val="18"/>
    </w:rPr>
  </w:style>
  <w:style w:type="paragraph" w:styleId="Caption">
    <w:name w:val="caption"/>
    <w:basedOn w:val="INF15-TableText"/>
    <w:next w:val="Normal"/>
    <w:unhideWhenUsed/>
    <w:qFormat/>
    <w:rsid w:val="00AB0CB0"/>
    <w:pPr>
      <w:spacing w:after="120"/>
      <w:jc w:val="center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graMER8\Downloads\INFuture2015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edran\Cloud\Google%20Drive\Posao\&#268;lanci\2015\InFuture\Analiza\Analiza%20Zajedni&#269;kih%20ishoda\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edran\Cloud\Google%20Drive\Posao\&#268;lanci\2015\InFuture\Analiza\Analiza%20BrojIshodaPremaRazinama\Analiza%20BrojIshodaPremaRazinama%20Nenormalizirano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edran\Cloud\Google%20Drive\Posao\&#268;lanci\2015\InFuture\Analiza\Analiza%20Prosjek%20P%20vs%20D%20studij%20po%20studijima\Svi%20studiji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edran\Cloud\Google%20Drive\Posao\&#268;lanci\2015\InFuture\Analiza\Analiza%20BrojIshodaPremaRazinama\Analiza%20BrojIshodaPremaRazinama%20Nenormalizirano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'1. I 2. ZAJEDNO'!$D$1</c:f>
              <c:strCache>
                <c:ptCount val="1"/>
                <c:pt idx="0">
                  <c:v>Undergraduate to graduate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'1. I 2. ZAJEDNO'!$C$2:$C$11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30.000000000000004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89.999999999999986</c:v>
                </c:pt>
                <c:pt idx="9">
                  <c:v>99.999999999999986</c:v>
                </c:pt>
              </c:numCache>
            </c:numRef>
          </c:cat>
          <c:val>
            <c:numRef>
              <c:f>'1. I 2. ZAJEDNO'!$D$2:$D$11</c:f>
              <c:numCache>
                <c:formatCode>General</c:formatCode>
                <c:ptCount val="10"/>
                <c:pt idx="0">
                  <c:v>8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</c:numCache>
            </c:numRef>
          </c:val>
        </c:ser>
        <c:ser>
          <c:idx val="1"/>
          <c:order val="1"/>
          <c:tx>
            <c:strRef>
              <c:f>'1. I 2. ZAJEDNO'!$E$1</c:f>
              <c:strCache>
                <c:ptCount val="1"/>
                <c:pt idx="0">
                  <c:v>Study courses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cat>
            <c:numRef>
              <c:f>'1. I 2. ZAJEDNO'!$C$2:$C$11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30.000000000000004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89.999999999999986</c:v>
                </c:pt>
                <c:pt idx="9">
                  <c:v>99.999999999999986</c:v>
                </c:pt>
              </c:numCache>
            </c:numRef>
          </c:cat>
          <c:val>
            <c:numRef>
              <c:f>'1. I 2. ZAJEDNO'!$E$2:$E$11</c:f>
              <c:numCache>
                <c:formatCode>General</c:formatCode>
                <c:ptCount val="10"/>
                <c:pt idx="0">
                  <c:v>6</c:v>
                </c:pt>
                <c:pt idx="1">
                  <c:v>9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9</c:v>
                </c:pt>
                <c:pt idx="6">
                  <c:v>5</c:v>
                </c:pt>
                <c:pt idx="7">
                  <c:v>8</c:v>
                </c:pt>
                <c:pt idx="8">
                  <c:v>6</c:v>
                </c:pt>
                <c:pt idx="9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5890864"/>
        <c:axId val="315894000"/>
      </c:barChart>
      <c:catAx>
        <c:axId val="315890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hr-HR" sz="900">
                    <a:solidFill>
                      <a:schemeClr val="tx1"/>
                    </a:solidFill>
                  </a:rPr>
                  <a:t>Common outcomes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r-Latn-RS"/>
          </a:p>
        </c:txPr>
        <c:crossAx val="315894000"/>
        <c:crosses val="autoZero"/>
        <c:auto val="1"/>
        <c:lblAlgn val="ctr"/>
        <c:lblOffset val="100"/>
        <c:noMultiLvlLbl val="0"/>
      </c:catAx>
      <c:valAx>
        <c:axId val="3158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hr-HR" sz="900">
                    <a:solidFill>
                      <a:schemeClr val="tx1"/>
                    </a:solidFill>
                  </a:rPr>
                  <a:t>Courses (number)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r-Latn-RS"/>
          </a:p>
        </c:txPr>
        <c:crossAx val="31589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2824089198841679"/>
          <c:y val="2.76084983285243E-2"/>
          <c:w val="0.54909379801379965"/>
          <c:h val="7.34507144940215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'Preddiplomski diplomski'!$F$1</c:f>
              <c:strCache>
                <c:ptCount val="1"/>
                <c:pt idx="0">
                  <c:v>Undergraduate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trendline>
            <c:spPr>
              <a:ln w="12700" cap="rnd">
                <a:solidFill>
                  <a:schemeClr val="bg1">
                    <a:lumMod val="50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numRef>
              <c:f>'Preddiplomski diplomski'!$C$2:$C$19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</c:numCache>
            </c:numRef>
          </c:cat>
          <c:val>
            <c:numRef>
              <c:f>'Preddiplomski diplomski'!$I$2:$I$19</c:f>
              <c:numCache>
                <c:formatCode>General</c:formatCode>
                <c:ptCount val="18"/>
                <c:pt idx="0">
                  <c:v>9.961006735200284</c:v>
                </c:pt>
                <c:pt idx="1">
                  <c:v>13.115916341722794</c:v>
                </c:pt>
                <c:pt idx="2">
                  <c:v>10.989010989010989</c:v>
                </c:pt>
                <c:pt idx="3">
                  <c:v>8.8621056362991855</c:v>
                </c:pt>
                <c:pt idx="4">
                  <c:v>4.5728465083303789</c:v>
                </c:pt>
                <c:pt idx="5">
                  <c:v>7.0187876639489541</c:v>
                </c:pt>
                <c:pt idx="6">
                  <c:v>7.3023750443105291</c:v>
                </c:pt>
                <c:pt idx="7">
                  <c:v>1.9851116625310175</c:v>
                </c:pt>
                <c:pt idx="8">
                  <c:v>10.315490960652252</c:v>
                </c:pt>
                <c:pt idx="9">
                  <c:v>7.1251329315845453</c:v>
                </c:pt>
                <c:pt idx="10">
                  <c:v>7.9758950726692657</c:v>
                </c:pt>
                <c:pt idx="11">
                  <c:v>5.3527118043247075</c:v>
                </c:pt>
                <c:pt idx="12">
                  <c:v>3.6157390996100673</c:v>
                </c:pt>
                <c:pt idx="13">
                  <c:v>0</c:v>
                </c:pt>
                <c:pt idx="14">
                  <c:v>0.35448422545196739</c:v>
                </c:pt>
                <c:pt idx="15">
                  <c:v>0.74441687344913154</c:v>
                </c:pt>
                <c:pt idx="16">
                  <c:v>0.46082949308755761</c:v>
                </c:pt>
                <c:pt idx="17">
                  <c:v>0.24813895781637718</c:v>
                </c:pt>
              </c:numCache>
            </c:numRef>
          </c:val>
        </c:ser>
        <c:ser>
          <c:idx val="2"/>
          <c:order val="1"/>
          <c:tx>
            <c:strRef>
              <c:f>'Preddiplomski diplomski'!$G$1</c:f>
              <c:strCache>
                <c:ptCount val="1"/>
                <c:pt idx="0">
                  <c:v>Graduate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trendline>
            <c:spPr>
              <a:ln w="12700" cap="rnd">
                <a:solidFill>
                  <a:schemeClr val="bg1">
                    <a:lumMod val="8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numRef>
              <c:f>'Preddiplomski diplomski'!$C$2:$C$19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</c:numCache>
            </c:numRef>
          </c:cat>
          <c:val>
            <c:numRef>
              <c:f>'Preddiplomski diplomski'!$J$2:$J$19</c:f>
              <c:numCache>
                <c:formatCode>General</c:formatCode>
                <c:ptCount val="18"/>
                <c:pt idx="0">
                  <c:v>5.9697601668404587</c:v>
                </c:pt>
                <c:pt idx="1">
                  <c:v>8.889468196037539</c:v>
                </c:pt>
                <c:pt idx="2">
                  <c:v>11.287799791449427</c:v>
                </c:pt>
                <c:pt idx="3">
                  <c:v>8.6287799791449427</c:v>
                </c:pt>
                <c:pt idx="4">
                  <c:v>7.664233576642336</c:v>
                </c:pt>
                <c:pt idx="5">
                  <c:v>9.9061522419186652</c:v>
                </c:pt>
                <c:pt idx="6">
                  <c:v>5.2659019812304484</c:v>
                </c:pt>
                <c:pt idx="7">
                  <c:v>2.6068821689259645</c:v>
                </c:pt>
                <c:pt idx="8">
                  <c:v>9.1501564129301354</c:v>
                </c:pt>
                <c:pt idx="9">
                  <c:v>7.0907194994786229</c:v>
                </c:pt>
                <c:pt idx="10">
                  <c:v>10.29718456725756</c:v>
                </c:pt>
                <c:pt idx="11">
                  <c:v>4.0667361835245046</c:v>
                </c:pt>
                <c:pt idx="12">
                  <c:v>3.2325338894681961</c:v>
                </c:pt>
                <c:pt idx="13">
                  <c:v>0.18248175182481752</c:v>
                </c:pt>
                <c:pt idx="14">
                  <c:v>1.5119916579770596</c:v>
                </c:pt>
                <c:pt idx="15">
                  <c:v>3.0500521376433785</c:v>
                </c:pt>
                <c:pt idx="16">
                  <c:v>0.44316996871741393</c:v>
                </c:pt>
                <c:pt idx="17">
                  <c:v>0.75599582898852979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5894392"/>
        <c:axId val="315891256"/>
      </c:barChart>
      <c:catAx>
        <c:axId val="315894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hr-HR">
                    <a:solidFill>
                      <a:schemeClr val="tx1"/>
                    </a:solidFill>
                  </a:rPr>
                  <a:t>Cognitive levels                 Affective levels                </a:t>
                </a:r>
                <a:r>
                  <a:rPr lang="hr-HR" baseline="0">
                    <a:solidFill>
                      <a:schemeClr val="tx1"/>
                    </a:solidFill>
                  </a:rPr>
                  <a:t> </a:t>
                </a:r>
                <a:r>
                  <a:rPr lang="hr-HR" sz="900" b="0" i="0" u="none" strike="noStrike" baseline="0">
                    <a:solidFill>
                      <a:schemeClr val="tx1"/>
                    </a:solidFill>
                    <a:effectLst/>
                  </a:rPr>
                  <a:t>Psychomotor levels</a:t>
                </a:r>
                <a:endParaRPr lang="hr-HR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12452123628492244"/>
              <c:y val="0.869007052084591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r-Latn-RS"/>
          </a:p>
        </c:txPr>
        <c:crossAx val="315891256"/>
        <c:crosses val="autoZero"/>
        <c:auto val="1"/>
        <c:lblAlgn val="ctr"/>
        <c:lblOffset val="100"/>
        <c:noMultiLvlLbl val="0"/>
      </c:catAx>
      <c:valAx>
        <c:axId val="315891256"/>
        <c:scaling>
          <c:orientation val="minMax"/>
          <c:max val="14"/>
          <c:min val="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r-Latn-RS"/>
          </a:p>
        </c:txPr>
        <c:crossAx val="315894392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tr"/>
      <c:legendEntry>
        <c:idx val="2"/>
        <c:delete val="1"/>
      </c:legendEntry>
      <c:legendEntry>
        <c:idx val="3"/>
        <c:delete val="1"/>
      </c:legendEntry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sr-Latn-R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Increment</c:v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'K+A+P'!$G$97:$G$114</c:f>
              <c:strCache>
                <c:ptCount val="18"/>
                <c:pt idx="0">
                  <c:v>-2</c:v>
                </c:pt>
                <c:pt idx="1">
                  <c:v>-1.5</c:v>
                </c:pt>
                <c:pt idx="2">
                  <c:v>-1</c:v>
                </c:pt>
                <c:pt idx="3">
                  <c:v>-0.5</c:v>
                </c:pt>
                <c:pt idx="4">
                  <c:v>0</c:v>
                </c:pt>
                <c:pt idx="5">
                  <c:v>0.5</c:v>
                </c:pt>
                <c:pt idx="6">
                  <c:v>1</c:v>
                </c:pt>
                <c:pt idx="7">
                  <c:v>1.5</c:v>
                </c:pt>
                <c:pt idx="8">
                  <c:v>2</c:v>
                </c:pt>
                <c:pt idx="9">
                  <c:v>2.5</c:v>
                </c:pt>
                <c:pt idx="10">
                  <c:v>3</c:v>
                </c:pt>
                <c:pt idx="11">
                  <c:v>3.5</c:v>
                </c:pt>
                <c:pt idx="12">
                  <c:v>4</c:v>
                </c:pt>
                <c:pt idx="13">
                  <c:v>4.5</c:v>
                </c:pt>
                <c:pt idx="14">
                  <c:v>5</c:v>
                </c:pt>
                <c:pt idx="15">
                  <c:v>5.5</c:v>
                </c:pt>
                <c:pt idx="16">
                  <c:v>6</c:v>
                </c:pt>
                <c:pt idx="17">
                  <c:v>6.5</c:v>
                </c:pt>
              </c:strCache>
            </c:strRef>
          </c:cat>
          <c:val>
            <c:numRef>
              <c:f>'K+A+P'!$F$97:$F$114</c:f>
              <c:numCache>
                <c:formatCode>General</c:formatCode>
                <c:ptCount val="18"/>
                <c:pt idx="0">
                  <c:v>1</c:v>
                </c:pt>
                <c:pt idx="1">
                  <c:v>1</c:v>
                </c:pt>
                <c:pt idx="2">
                  <c:v>5</c:v>
                </c:pt>
                <c:pt idx="3">
                  <c:v>12</c:v>
                </c:pt>
                <c:pt idx="4">
                  <c:v>7</c:v>
                </c:pt>
                <c:pt idx="5">
                  <c:v>8</c:v>
                </c:pt>
                <c:pt idx="6">
                  <c:v>6</c:v>
                </c:pt>
                <c:pt idx="7">
                  <c:v>7</c:v>
                </c:pt>
                <c:pt idx="8">
                  <c:v>10</c:v>
                </c:pt>
                <c:pt idx="9">
                  <c:v>7</c:v>
                </c:pt>
                <c:pt idx="10">
                  <c:v>4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5892824"/>
        <c:axId val="315893608"/>
      </c:barChart>
      <c:catAx>
        <c:axId val="315892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hr-HR">
                    <a:solidFill>
                      <a:schemeClr val="tx1"/>
                    </a:solidFill>
                  </a:rPr>
                  <a:t>Increment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r-Latn-RS"/>
          </a:p>
        </c:txPr>
        <c:crossAx val="315893608"/>
        <c:crosses val="autoZero"/>
        <c:auto val="1"/>
        <c:lblAlgn val="ctr"/>
        <c:lblOffset val="100"/>
        <c:tickMarkSkip val="1"/>
        <c:noMultiLvlLbl val="0"/>
      </c:catAx>
      <c:valAx>
        <c:axId val="3158936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hr-HR">
                    <a:solidFill>
                      <a:schemeClr val="tx1"/>
                    </a:solidFill>
                  </a:rPr>
                  <a:t>Courses (number)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r-Latn-RS"/>
          </a:p>
        </c:txPr>
        <c:crossAx val="315892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sr-Latn-R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'1P i 2P'!$F$1</c:f>
              <c:strCache>
                <c:ptCount val="1"/>
                <c:pt idx="0">
                  <c:v>Single major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trendline>
            <c:spPr>
              <a:ln w="12700" cap="rnd">
                <a:solidFill>
                  <a:schemeClr val="bg1">
                    <a:lumMod val="50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numRef>
              <c:f>'1P i 2P'!$C$2:$C$19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</c:numCache>
            </c:numRef>
          </c:cat>
          <c:val>
            <c:numRef>
              <c:f>'1P i 2P'!$I$2:$I$19</c:f>
              <c:numCache>
                <c:formatCode>General</c:formatCode>
                <c:ptCount val="18"/>
                <c:pt idx="0">
                  <c:v>6.3035495716034271</c:v>
                </c:pt>
                <c:pt idx="1">
                  <c:v>8.3231334149326806</c:v>
                </c:pt>
                <c:pt idx="2">
                  <c:v>12.545899632802938</c:v>
                </c:pt>
                <c:pt idx="3">
                  <c:v>8.5679314565483473</c:v>
                </c:pt>
                <c:pt idx="4">
                  <c:v>6.4871481028151781</c:v>
                </c:pt>
                <c:pt idx="5">
                  <c:v>11.260709914320685</c:v>
                </c:pt>
                <c:pt idx="6">
                  <c:v>5.4467564259485926</c:v>
                </c:pt>
                <c:pt idx="7">
                  <c:v>2.6315789473684208</c:v>
                </c:pt>
                <c:pt idx="8">
                  <c:v>9.1187270501835993</c:v>
                </c:pt>
                <c:pt idx="9">
                  <c:v>6.4871481028151781</c:v>
                </c:pt>
                <c:pt idx="10">
                  <c:v>11.015911872705018</c:v>
                </c:pt>
                <c:pt idx="11">
                  <c:v>3.7943696450428397</c:v>
                </c:pt>
                <c:pt idx="12">
                  <c:v>2.5703794369645041</c:v>
                </c:pt>
                <c:pt idx="13">
                  <c:v>0.12239902080783352</c:v>
                </c:pt>
                <c:pt idx="14">
                  <c:v>1.2851897184822521</c:v>
                </c:pt>
                <c:pt idx="15">
                  <c:v>2.9375764993880051</c:v>
                </c:pt>
                <c:pt idx="16">
                  <c:v>0.48959608323133408</c:v>
                </c:pt>
                <c:pt idx="17">
                  <c:v>0.61199510403916768</c:v>
                </c:pt>
              </c:numCache>
            </c:numRef>
          </c:val>
        </c:ser>
        <c:ser>
          <c:idx val="2"/>
          <c:order val="1"/>
          <c:tx>
            <c:strRef>
              <c:f>'1P i 2P'!$G$1</c:f>
              <c:strCache>
                <c:ptCount val="1"/>
                <c:pt idx="0">
                  <c:v>Double major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trendline>
            <c:spPr>
              <a:ln w="12700" cap="rnd">
                <a:solidFill>
                  <a:schemeClr val="bg1">
                    <a:lumMod val="8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numRef>
              <c:f>'1P i 2P'!$C$2:$C$19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</c:numCache>
            </c:numRef>
          </c:cat>
          <c:val>
            <c:numRef>
              <c:f>'1P i 2P'!$J$2:$J$19</c:f>
              <c:numCache>
                <c:formatCode>General</c:formatCode>
                <c:ptCount val="18"/>
                <c:pt idx="0">
                  <c:v>8.1027274537129212</c:v>
                </c:pt>
                <c:pt idx="1">
                  <c:v>11.447342225761497</c:v>
                </c:pt>
                <c:pt idx="2">
                  <c:v>10.710730639060323</c:v>
                </c:pt>
                <c:pt idx="3">
                  <c:v>8.7796137766275137</c:v>
                </c:pt>
                <c:pt idx="4">
                  <c:v>6.3109695401154688</c:v>
                </c:pt>
                <c:pt idx="5">
                  <c:v>7.8439179773044003</c:v>
                </c:pt>
                <c:pt idx="6">
                  <c:v>6.350786382639857</c:v>
                </c:pt>
                <c:pt idx="7">
                  <c:v>2.2496516026279116</c:v>
                </c:pt>
                <c:pt idx="8">
                  <c:v>9.8148516822615974</c:v>
                </c:pt>
                <c:pt idx="9">
                  <c:v>7.3063906032251644</c:v>
                </c:pt>
                <c:pt idx="10">
                  <c:v>8.7597053553653197</c:v>
                </c:pt>
                <c:pt idx="11">
                  <c:v>4.8775632092375076</c:v>
                </c:pt>
                <c:pt idx="12">
                  <c:v>3.6631495122436788</c:v>
                </c:pt>
                <c:pt idx="13">
                  <c:v>9.9542106310969547E-2</c:v>
                </c:pt>
                <c:pt idx="14">
                  <c:v>0.93569579932311375</c:v>
                </c:pt>
                <c:pt idx="15">
                  <c:v>1.7917579135974515</c:v>
                </c:pt>
                <c:pt idx="16">
                  <c:v>0.43798526776826602</c:v>
                </c:pt>
                <c:pt idx="17">
                  <c:v>0.51761895281704162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5893216"/>
        <c:axId val="315889688"/>
      </c:barChart>
      <c:catAx>
        <c:axId val="315893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hr-HR">
                    <a:solidFill>
                      <a:schemeClr val="tx1"/>
                    </a:solidFill>
                  </a:rPr>
                  <a:t>Cognitive                             Affective                               Psychomotor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sr-Latn-R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r-Latn-RS"/>
          </a:p>
        </c:txPr>
        <c:crossAx val="315889688"/>
        <c:crosses val="autoZero"/>
        <c:auto val="1"/>
        <c:lblAlgn val="ctr"/>
        <c:lblOffset val="100"/>
        <c:noMultiLvlLbl val="0"/>
      </c:catAx>
      <c:valAx>
        <c:axId val="3158896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sr-Latn-RS"/>
          </a:p>
        </c:txPr>
        <c:crossAx val="315893216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tr"/>
      <c:legendEntry>
        <c:idx val="2"/>
        <c:delete val="1"/>
      </c:legendEntry>
      <c:legendEntry>
        <c:idx val="3"/>
        <c:delete val="1"/>
      </c:legendEntry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900">
          <a:latin typeface="Times New Roman" panose="02020603050405020304" pitchFamily="18" charset="0"/>
          <a:cs typeface="Times New Roman" panose="02020603050405020304" pitchFamily="18" charset="0"/>
        </a:defRPr>
      </a:pPr>
      <a:endParaRPr lang="sr-Latn-R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0.36692</cdr:x>
      <cdr:y>0.03218</cdr:y>
    </cdr:from>
    <cdr:to>
      <cdr:x>0.61657</cdr:x>
      <cdr:y>0.91596</cdr:y>
    </cdr:to>
    <cdr:grpSp>
      <cdr:nvGrpSpPr>
        <cdr:cNvPr id="4" name="Group 3"/>
        <cdr:cNvGrpSpPr/>
      </cdr:nvGrpSpPr>
      <cdr:grpSpPr>
        <a:xfrm xmlns:a="http://schemas.openxmlformats.org/drawingml/2006/main">
          <a:off x="1650997" y="70124"/>
          <a:ext cx="1123328" cy="1926039"/>
          <a:chOff x="1651000" y="115570"/>
          <a:chExt cx="1123315" cy="2085975"/>
        </a:xfrm>
      </cdr:grpSpPr>
      <cdr:cxnSp macro="">
        <cdr:nvCxnSpPr>
          <cdr:cNvPr id="2" name="Straight Connector 1"/>
          <cdr:cNvCxnSpPr/>
        </cdr:nvCxnSpPr>
        <cdr:spPr>
          <a:xfrm xmlns:a="http://schemas.openxmlformats.org/drawingml/2006/main" flipV="1">
            <a:off x="1651000" y="115570"/>
            <a:ext cx="0" cy="2085975"/>
          </a:xfrm>
          <a:prstGeom xmlns:a="http://schemas.openxmlformats.org/drawingml/2006/main" prst="line">
            <a:avLst/>
          </a:prstGeom>
          <a:ln xmlns:a="http://schemas.openxmlformats.org/drawingml/2006/main" w="3175">
            <a:solidFill>
              <a:schemeClr val="tx1"/>
            </a:solidFill>
            <a:prstDash val="lgDash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  <cdr:cxnSp macro="">
        <cdr:nvCxnSpPr>
          <cdr:cNvPr id="3" name="Straight Connector 2"/>
          <cdr:cNvCxnSpPr/>
        </cdr:nvCxnSpPr>
        <cdr:spPr>
          <a:xfrm xmlns:a="http://schemas.openxmlformats.org/drawingml/2006/main" flipV="1">
            <a:off x="2774315" y="115570"/>
            <a:ext cx="0" cy="2085975"/>
          </a:xfrm>
          <a:prstGeom xmlns:a="http://schemas.openxmlformats.org/drawingml/2006/main" prst="line">
            <a:avLst/>
          </a:prstGeom>
          <a:ln xmlns:a="http://schemas.openxmlformats.org/drawingml/2006/main" w="3175">
            <a:solidFill>
              <a:schemeClr val="tx1"/>
            </a:solidFill>
            <a:prstDash val="lgDash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0.32406</cdr:x>
      <cdr:y>0.0596</cdr:y>
    </cdr:from>
    <cdr:to>
      <cdr:x>0.32406</cdr:x>
      <cdr:y>0.83218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1458129" y="132080"/>
          <a:ext cx="0" cy="1712148"/>
        </a:xfrm>
        <a:prstGeom xmlns:a="http://schemas.openxmlformats.org/drawingml/2006/main" prst="line">
          <a:avLst/>
        </a:prstGeom>
        <a:ln xmlns:a="http://schemas.openxmlformats.org/drawingml/2006/main" w="3175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0.50214</cdr:x>
      <cdr:y>0.0436</cdr:y>
    </cdr:from>
    <cdr:to>
      <cdr:x>0.50214</cdr:x>
      <cdr:y>0.81617</cdr:y>
    </cdr:to>
    <cdr:cxnSp macro="">
      <cdr:nvCxnSpPr>
        <cdr:cNvPr id="3" name="Straight Connector 2"/>
        <cdr:cNvCxnSpPr/>
      </cdr:nvCxnSpPr>
      <cdr:spPr>
        <a:xfrm xmlns:a="http://schemas.openxmlformats.org/drawingml/2006/main" flipV="1">
          <a:off x="2259428" y="96615"/>
          <a:ext cx="0" cy="1712148"/>
        </a:xfrm>
        <a:prstGeom xmlns:a="http://schemas.openxmlformats.org/drawingml/2006/main" prst="line">
          <a:avLst/>
        </a:prstGeom>
        <a:ln xmlns:a="http://schemas.openxmlformats.org/drawingml/2006/main" w="0">
          <a:solidFill>
            <a:schemeClr val="tx1"/>
          </a:solidFill>
          <a:prstDash val="solid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0.36683</cdr:x>
      <cdr:y>0.06429</cdr:y>
    </cdr:from>
    <cdr:to>
      <cdr:x>0.61648</cdr:x>
      <cdr:y>0.94807</cdr:y>
    </cdr:to>
    <cdr:grpSp>
      <cdr:nvGrpSpPr>
        <cdr:cNvPr id="2" name="Group 1"/>
        <cdr:cNvGrpSpPr/>
      </cdr:nvGrpSpPr>
      <cdr:grpSpPr>
        <a:xfrm xmlns:a="http://schemas.openxmlformats.org/drawingml/2006/main">
          <a:off x="1650593" y="151740"/>
          <a:ext cx="1123315" cy="2085975"/>
          <a:chOff x="1651022" y="164790"/>
          <a:chExt cx="1123315" cy="2259192"/>
        </a:xfrm>
      </cdr:grpSpPr>
      <cdr:cxnSp macro="">
        <cdr:nvCxnSpPr>
          <cdr:cNvPr id="3" name="Straight Connector 2"/>
          <cdr:cNvCxnSpPr/>
        </cdr:nvCxnSpPr>
        <cdr:spPr>
          <a:xfrm xmlns:a="http://schemas.openxmlformats.org/drawingml/2006/main" flipV="1">
            <a:off x="1651022" y="164790"/>
            <a:ext cx="0" cy="2259192"/>
          </a:xfrm>
          <a:prstGeom xmlns:a="http://schemas.openxmlformats.org/drawingml/2006/main" prst="line">
            <a:avLst/>
          </a:prstGeom>
          <a:ln xmlns:a="http://schemas.openxmlformats.org/drawingml/2006/main" w="3175">
            <a:solidFill>
              <a:schemeClr val="tx1"/>
            </a:solidFill>
            <a:prstDash val="lgDash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  <cdr:cxnSp macro="">
        <cdr:nvCxnSpPr>
          <cdr:cNvPr id="4" name="Straight Connector 3"/>
          <cdr:cNvCxnSpPr/>
        </cdr:nvCxnSpPr>
        <cdr:spPr>
          <a:xfrm xmlns:a="http://schemas.openxmlformats.org/drawingml/2006/main" flipV="1">
            <a:off x="2774337" y="164790"/>
            <a:ext cx="0" cy="2259192"/>
          </a:xfrm>
          <a:prstGeom xmlns:a="http://schemas.openxmlformats.org/drawingml/2006/main" prst="line">
            <a:avLst/>
          </a:prstGeom>
          <a:ln xmlns:a="http://schemas.openxmlformats.org/drawingml/2006/main" w="3175">
            <a:solidFill>
              <a:schemeClr val="tx1"/>
            </a:solidFill>
            <a:prstDash val="lgDash"/>
          </a:ln>
        </cdr:spPr>
        <cdr:style>
          <a:lnRef xmlns:a="http://schemas.openxmlformats.org/drawingml/2006/main" idx="1">
            <a:schemeClr val="accent1"/>
          </a:lnRef>
          <a:fillRef xmlns:a="http://schemas.openxmlformats.org/drawingml/2006/main" idx="0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tx1"/>
          </a:fontRef>
        </cdr:style>
      </cdr:cxn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B68A8-7450-4EC5-8739-1A6A9B64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INFuture2015.dot</Template>
  <TotalTime>1084</TotalTime>
  <Pages>7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INFuture2015</vt:lpstr>
    </vt:vector>
  </TitlesOfParts>
  <Company>FF</Company>
  <LinksUpToDate>false</LinksUpToDate>
  <CharactersWithSpaces>11605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INFuture2015</dc:title>
  <dc:creator>Programer8</dc:creator>
  <cp:lastModifiedBy>Vedran</cp:lastModifiedBy>
  <cp:revision>475</cp:revision>
  <cp:lastPrinted>1899-12-31T22:00:00Z</cp:lastPrinted>
  <dcterms:created xsi:type="dcterms:W3CDTF">2015-06-13T15:03:00Z</dcterms:created>
  <dcterms:modified xsi:type="dcterms:W3CDTF">2015-07-01T19:20:00Z</dcterms:modified>
</cp:coreProperties>
</file>