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Sausage Snake 无尽版产品需求文档</w:t>
      </w:r>
    </w:p>
    <w:p>
      <w:pPr>
        <w:pStyle w:val="Subtitle"/>
      </w:pPr>
      <w:r>
        <w:t>V1.0  |  2026年10月16日  |  产品 程序 美术 音频 UI 测试</w:t>
      </w:r>
    </w:p>
    <w:p>
      <w:pPr>
        <w:pStyle w:val="Heading1"/>
      </w:pPr>
      <w:r>
        <w:t>1 产品概述</w:t>
      </w:r>
    </w:p>
    <w:p>
      <w:r>
        <w:t>Doe 自动前进，玩家用一个按键控制顺时针转向，吃骨头得分并逐步变长，在不断加速、增加障碍的场地中挑战最高纪录。达到三星后继续游戏，直至碰撞或主动结束。</w:t>
      </w:r>
    </w:p>
    <w:p>
      <w:r>
        <w:t>本文只覆盖无尽版 Sausage Snake。玩法与交互以已确认原型为基线；正式视觉与音频按制作规格交付，原型临时资产不作为制作标准。本文不包含三关版的 ROUND、换关和通关流程。</w:t>
      </w:r>
    </w:p>
    <w:p>
      <w:pPr>
        <w:pStyle w:val="Heading2"/>
      </w:pPr>
      <w:r>
        <w:t>阅读分工</w:t>
      </w:r>
    </w:p>
    <w:p>
      <w:r>
        <w:t>程序阅读第2、3、5、8章；UI阅读第1、4、5章；美术阅读第1、6章及UI图标规格；音频阅读第7章；测试按第8章验收。各制作部门共用以下屏幕和玩法约束。</w:t>
      </w:r>
    </w:p>
    <w:p>
      <w:pPr>
        <w:pStyle w:val="Heading2"/>
      </w:pPr>
      <w:r>
        <w:t>产品与硬件边界</w:t>
      </w:r>
    </w:p>
    <w:p>
      <w:pPr>
        <w:pStyle w:val="ListBullet"/>
      </w:pPr>
      <w:r>
        <w:t>显示屏为1.54英寸正方形屏幕，分辨率240×240；有效显示区约27.66×27.66毫米。设计与验收均以240×240原尺寸为准。</w:t>
      </w:r>
    </w:p>
    <w:p>
      <w:pPr>
        <w:pStyle w:val="ListBullet"/>
      </w:pPr>
      <w:r>
        <w:t>一条命、10×10格场地、每格20×20像素；自动移动、单键转向、得分成长、碰撞结束。不设单局限时、复活、道具、关卡或排行榜。</w:t>
      </w:r>
    </w:p>
    <w:p>
      <w:pPr>
        <w:pStyle w:val="ListBullet"/>
      </w:pPr>
      <w:r>
        <w:t>初始长度3格、初始朝右，头位于零基坐标(5,4)，身体向左排列；初始无障碍，食物只有一根。</w:t>
      </w:r>
    </w:p>
    <w:p>
      <w:pPr>
        <w:pStyle w:val="Heading2"/>
      </w:pPr>
      <w:r>
        <w:t>三个按键的职责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2016"/>
        <w:gridCol w:w="3096"/>
        <w:gridCol w:w="3600"/>
      </w:tblGrid>
      <w:tr>
        <w:trPr>
          <w:tblHeader/>
          <w:cantSplit/>
        </w:trPr>
        <w:tc>
          <w:tcPr>
            <w:tcW w:type="dxa" w:w="1512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2016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A 选择</w:t>
            </w:r>
          </w:p>
        </w:tc>
        <w:tc>
          <w:tcPr>
            <w:tcW w:type="dxa" w:w="3096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B 确定</w:t>
            </w:r>
          </w:p>
        </w:tc>
        <w:tc>
          <w:tcPr>
            <w:tcW w:type="dxa" w:w="3600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C 返回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游戏入口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切换两个选项</w:t>
            </w:r>
          </w:p>
        </w:tc>
        <w:tc>
          <w:tcPr>
            <w:tcW w:type="dxa" w:w="30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进入开始或说明</w:t>
            </w:r>
          </w:p>
        </w:tc>
        <w:tc>
          <w:tcPr>
            <w:tcW w:type="dxa" w:w="36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回小游戏菜单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玩法说明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无操作</w:t>
            </w:r>
          </w:p>
        </w:tc>
        <w:tc>
          <w:tcPr>
            <w:tcW w:type="dxa" w:w="30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开始游戏</w:t>
            </w:r>
          </w:p>
        </w:tc>
        <w:tc>
          <w:tcPr>
            <w:tcW w:type="dxa" w:w="36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回入口并选中说明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局内移动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暂停</w:t>
            </w:r>
          </w:p>
        </w:tc>
        <w:tc>
          <w:tcPr>
            <w:tcW w:type="dxa" w:w="30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累计一次顺时针转向</w:t>
            </w:r>
          </w:p>
        </w:tc>
        <w:tc>
          <w:tcPr>
            <w:tcW w:type="dxa" w:w="36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打开结束确认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暂停中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继续游戏</w:t>
            </w:r>
          </w:p>
        </w:tc>
        <w:tc>
          <w:tcPr>
            <w:tcW w:type="dxa" w:w="30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无操作</w:t>
            </w:r>
          </w:p>
        </w:tc>
        <w:tc>
          <w:tcPr>
            <w:tcW w:type="dxa" w:w="36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直接结束并结算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结束确认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切换选项</w:t>
            </w:r>
          </w:p>
        </w:tc>
        <w:tc>
          <w:tcPr>
            <w:tcW w:type="dxa" w:w="30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执行所选项</w:t>
            </w:r>
          </w:p>
        </w:tc>
        <w:tc>
          <w:tcPr>
            <w:tcW w:type="dxa" w:w="36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取消确认并返回原状态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结果页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无操作</w:t>
            </w:r>
          </w:p>
        </w:tc>
        <w:tc>
          <w:tcPr>
            <w:tcW w:type="dxa" w:w="30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再来一局</w:t>
            </w:r>
          </w:p>
        </w:tc>
        <w:tc>
          <w:tcPr>
            <w:tcW w:type="dxa" w:w="36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回游戏入口</w:t>
            </w:r>
          </w:p>
        </w:tc>
      </w:tr>
    </w:tbl>
    <w:p/>
    <w:p>
      <w:r>
        <w:t>倒计时期间A、B无效，C仍可打开结束确认。主操作使用设备按键A/B/C；模拟器键盘映射不属于玩家教程。</w:t>
      </w:r>
    </w:p>
    <w:p>
      <w:r>
        <w:br w:type="page"/>
      </w:r>
    </w:p>
    <w:p>
      <w:pPr>
        <w:pStyle w:val="Heading1"/>
      </w:pPr>
      <w:r>
        <w:t>2 程序需求 移动与难度</w:t>
      </w:r>
    </w:p>
    <w:p>
      <w:pPr>
        <w:pStyle w:val="Heading2"/>
      </w:pPr>
      <w:r>
        <w:t>输入和移动</w:t>
      </w:r>
    </w:p>
    <w:p>
      <w:r>
        <w:t>B使用按下沿触发，按住只计一次。同一移动节拍内最多缓存3次有效按下，移动时只执行最终方向，随后清空缓存。0次直行，1次右转，2次保持原方向，3次左转；第4次及之后忽略。方向判断以本节拍开始时的方向为基准。</w:t>
      </w:r>
    </w:p>
    <w:p>
      <w:r>
        <w:t>跨越移动节拍的按键分别归入各自节拍，不把已经发生的移动回滚。头部附近持续显示下一步实际方向，必须反映“两次不掉头”以及缓存上限。</w:t>
      </w:r>
    </w:p>
    <w:p>
      <w:r>
        <w:t>每次移动进入相邻格。吃到骨头总分+1；累计第2、4、6……根时长度+1并保留尾巴，其他移动尾巴前进。长度为3加上累计骨头数除以2后的整数部分。撞墙、障碍或非本步离开的身体立即结束；不增长时可进入尾巴本步即将离开的格。</w:t>
      </w:r>
    </w:p>
    <w:p>
      <w:pPr>
        <w:pStyle w:val="Heading2"/>
      </w:pPr>
      <w:r>
        <w:t>难度配置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864"/>
        <w:gridCol w:w="3024"/>
        <w:gridCol w:w="3888"/>
      </w:tblGrid>
      <w:tr>
        <w:trPr>
          <w:tblHeader/>
          <w:cantSplit/>
        </w:trPr>
        <w:tc>
          <w:tcPr>
            <w:tcW w:type="dxa" w:w="2448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总骨头数</w:t>
            </w:r>
          </w:p>
        </w:tc>
        <w:tc>
          <w:tcPr>
            <w:tcW w:type="dxa" w:w="864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LV</w:t>
            </w:r>
          </w:p>
        </w:tc>
        <w:tc>
          <w:tcPr>
            <w:tcW w:type="dxa" w:w="3024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每格耗时</w:t>
            </w:r>
          </w:p>
        </w:tc>
        <w:tc>
          <w:tcPr>
            <w:tcW w:type="dxa" w:w="3888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目标障碍段数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0–4</w:t>
            </w:r>
          </w:p>
        </w:tc>
        <w:tc>
          <w:tcPr>
            <w:tcW w:type="dxa" w:w="8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550 ms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5–9</w:t>
            </w:r>
          </w:p>
        </w:tc>
        <w:tc>
          <w:tcPr>
            <w:tcW w:type="dxa" w:w="8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470 ms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10–14</w:t>
            </w:r>
          </w:p>
        </w:tc>
        <w:tc>
          <w:tcPr>
            <w:tcW w:type="dxa" w:w="8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400 ms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15–24</w:t>
            </w:r>
          </w:p>
        </w:tc>
        <w:tc>
          <w:tcPr>
            <w:tcW w:type="dxa" w:w="8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370 ms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25–34</w:t>
            </w:r>
          </w:p>
        </w:tc>
        <w:tc>
          <w:tcPr>
            <w:tcW w:type="dxa" w:w="8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340 ms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35–44</w:t>
            </w:r>
          </w:p>
        </w:tc>
        <w:tc>
          <w:tcPr>
            <w:tcW w:type="dxa" w:w="8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310 ms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45–54</w:t>
            </w:r>
          </w:p>
        </w:tc>
        <w:tc>
          <w:tcPr>
            <w:tcW w:type="dxa" w:w="8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280 ms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55及以上</w:t>
            </w:r>
          </w:p>
        </w:tc>
        <w:tc>
          <w:tcPr>
            <w:tcW w:type="dxa" w:w="8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30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250 ms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6</w:t>
            </w:r>
          </w:p>
        </w:tc>
      </w:tr>
    </w:tbl>
    <w:p/>
    <w:p>
      <w:r>
        <w:t>每段障碍连续占3格，横向或竖向。升档在吃到触发骨头后生效，不重置分数、身体和方向，不停顿、不播放关卡倒计时；第8档之后不再加速或增加障碍。</w:t>
      </w:r>
    </w:p>
    <w:p>
      <w:pPr>
        <w:pStyle w:val="Heading2"/>
      </w:pPr>
      <w:r>
        <w:t>食物与障碍生成</w:t>
      </w:r>
    </w:p>
    <w:p>
      <w:pPr>
        <w:pStyle w:val="ListBullet"/>
      </w:pPr>
      <w:r>
        <w:t>新骨头只能生成在身体和障碍之外的空格；优先随机选择与头曼哈顿距离≥3的空格，无符合条件的位置时放宽到任意空格。无空格可放食物时结束本局，按当前分数结算。</w:t>
      </w:r>
    </w:p>
    <w:p>
      <w:pPr>
        <w:pStyle w:val="ListBullet"/>
      </w:pPr>
      <w:r>
        <w:t>升档只追加障碍至目标段数，旧障碍保持不动。不得覆盖身体或当前骨头；每个新增障碍格与头的曼哈顿距离必须&gt;2，并避开当前行进方向正前方3格。</w:t>
      </w:r>
    </w:p>
    <w:p>
      <w:pPr>
        <w:pStyle w:val="ListBullet"/>
      </w:pPr>
      <w:r>
        <w:t>不同障碍段不能相邻，含对角相邻。仅按障碍计算可行走区域时，所有空地必须连通，每个空格至少有两个四邻接空格；此检查不保证身体造成的临时围堵可解。</w:t>
      </w:r>
    </w:p>
    <w:p>
      <w:pPr>
        <w:pStyle w:val="ListBullet"/>
      </w:pPr>
      <w:r>
        <w:t>每段最多尝试100次。找不到公平位置时允许少放，下一次升档再补；不强行放置、不搬动身体和食物。新障碍出现即参与碰撞，闪烁只是视觉提示。</w:t>
      </w:r>
    </w:p>
    <w:p>
      <w:r>
        <w:br w:type="page"/>
      </w:r>
    </w:p>
    <w:p>
      <w:pPr>
        <w:pStyle w:val="Heading1"/>
      </w:pPr>
      <w:r>
        <w:t>3 程序需求 状态与结算</w:t>
      </w:r>
    </w:p>
    <w:p>
      <w:pPr>
        <w:pStyle w:val="Heading2"/>
      </w:pPr>
      <w:r>
        <w:t>单局流程</w:t>
      </w:r>
    </w:p>
    <w:p>
      <w:r>
        <w:t>小游戏菜单 → 游戏入口 → 开始游戏 → 3、2、1、GO → 局内移动 → 碰撞或主动结束 → 结果页。B重开回到全新一局倒计时；C返回游戏入口。首次进入可先打开玩法说明。</w:t>
      </w:r>
    </w:p>
    <w:p>
      <w:r>
        <w:t>3、2、1各显示1秒，GO显示0.5秒，之后进入移动。倒计时内角色不移动，顶栏隐藏，场地保持可见。游戏、暂停、确认和结果页不执行10秒无操作退出；入口和说明页沿用系统10秒无操作回主界面。游戏流程保持亮屏。</w:t>
      </w:r>
    </w:p>
    <w:p>
      <w:pPr>
        <w:pStyle w:val="Heading2"/>
      </w:pPr>
      <w:r>
        <w:t>暂停与结束确认</w:t>
      </w:r>
    </w:p>
    <w:p>
      <w:pPr>
        <w:pStyle w:val="ListBullet"/>
      </w:pPr>
      <w:r>
        <w:t>A暂停后停止规则计时和BGM；A继续从原位置恢复，开始一个完整移动节拍，已缓存转向保留。暂停中C直接结束并结算，不再加第二层确认。</w:t>
      </w:r>
    </w:p>
    <w:p>
      <w:pPr>
        <w:pStyle w:val="ListBullet"/>
      </w:pPr>
      <w:r>
        <w:t>C在移动或倒计时中打开“结束本局？”；默认选中“继续游戏”，另一项“结束本局”。说明文案为“按当前成绩结算”。</w:t>
      </w:r>
    </w:p>
    <w:p>
      <w:pPr>
        <w:pStyle w:val="ListBullet"/>
      </w:pPr>
      <w:r>
        <w:t>确认框打开期间冻结规则计时、移动和转向，不累计后台时间；取消后恢复原状态及剩余时间，已缓存转向保留。若打开确认前已经发生碰撞，优先进入碰撞结束流程。</w:t>
      </w:r>
    </w:p>
    <w:p>
      <w:pPr>
        <w:pStyle w:val="ListBullet"/>
      </w:pPr>
      <w:r>
        <w:t>碰撞反馈持续约0.9秒后显示结果；主动结束立即显示结果。结果页出现后0.8秒内屏蔽B重开，防止连按误触；C可返回入口。</w:t>
      </w:r>
    </w:p>
    <w:p>
      <w:pPr>
        <w:pStyle w:val="Heading2"/>
      </w:pPr>
      <w:r>
        <w:t>奖励与最高纪录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304"/>
        <w:gridCol w:w="2448"/>
      </w:tblGrid>
      <w:tr>
        <w:trPr>
          <w:tblHeader/>
          <w:cantSplit/>
        </w:trPr>
        <w:tc>
          <w:tcPr>
            <w:tcW w:type="dxa" w:w="3168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总骨头数</w:t>
            </w:r>
          </w:p>
        </w:tc>
        <w:tc>
          <w:tcPr>
            <w:tcW w:type="dxa" w:w="2304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星级</w:t>
            </w:r>
          </w:p>
        </w:tc>
        <w:tc>
          <w:tcPr>
            <w:tcW w:type="dxa" w:w="2304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贝壳</w:t>
            </w:r>
          </w:p>
        </w:tc>
        <w:tc>
          <w:tcPr>
            <w:tcW w:type="dxa" w:w="2448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神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0–4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0星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5–9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1星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10–14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2星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20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15及以上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3星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30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</w:t>
            </w:r>
          </w:p>
        </w:tc>
      </w:tr>
    </w:tbl>
    <w:p/>
    <w:p>
      <w:r>
        <w:t>碰撞、主动结束、空位耗尽采用同一奖励表；奖励按本局总骨头数计算，不按长度、存活时间或按键次数计算。倒计时中主动结束为0分，也按0星发5贝壳。满三星不自动结束，不设置额外通关奖。</w:t>
      </w:r>
    </w:p>
    <w:p>
      <w:r>
        <w:t>结果页显示总骨头数、三颗星的明暗状态、贝壳和最高纪录；神值后台结算，不在结果页显示。每局只提交一次成绩和奖励，结果页停留、重开或返回不得重复发奖。</w:t>
      </w:r>
    </w:p>
    <w:p>
      <w:r>
        <w:t>最高纪录按本机本游戏保存，未产生纪录时为0。只有本局分数严格大于旧纪录才提示新纪录，相等不提示。局内可实时预览新纪录，但仅在正常结算时持久化；重启后读取。异常强退或断电不补发未结算奖励，不恢复未完成对局。</w:t>
      </w:r>
    </w:p>
    <w:p>
      <w:r>
        <w:br w:type="page"/>
      </w:r>
    </w:p>
    <w:p>
      <w:pPr>
        <w:pStyle w:val="Heading1"/>
      </w:pPr>
      <w:r>
        <w:t>4 UI需求 页面与状态</w:t>
      </w:r>
    </w:p>
    <w:p>
      <w:r>
        <w:t>本章交付给UI设计和界面程序。所有页面按240×240制作，复用同一套复古像素街机视觉；文字用于解释动作与结果，图标用于分数、星级和奖励。不要将角色、骨头摆位示例当作新增功能页面。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392"/>
      </w:tblGrid>
      <w:tr>
        <w:trPr>
          <w:tblHeader/>
          <w:cantSplit/>
        </w:trPr>
        <w:tc>
          <w:tcPr>
            <w:tcW w:type="dxa" w:w="1512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4320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必须展示的信息</w:t>
            </w:r>
          </w:p>
        </w:tc>
        <w:tc>
          <w:tcPr>
            <w:tcW w:type="dxa" w:w="4392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交互及变体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01 游戏入口</w:t>
            </w:r>
          </w:p>
        </w:tc>
        <w:tc>
          <w:tcPr>
            <w:tcW w:type="dxa" w:w="432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Sausage Snake及无尽版标识、最高纪录、开始游戏、玩法说明</w:t>
            </w:r>
          </w:p>
        </w:tc>
        <w:tc>
          <w:tcPr>
            <w:tcW w:type="dxa" w:w="43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默认开始；A切换、B确定、C返回菜单。无纪录显示0。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02 玩法说明</w:t>
            </w:r>
          </w:p>
        </w:tc>
        <w:tc>
          <w:tcPr>
            <w:tcW w:type="dxa" w:w="432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B一次右转、同一拍三次左转、两次不掉头；每两根增长、碰撞结束、逐步加速、5/10/15得星</w:t>
            </w:r>
          </w:p>
        </w:tc>
        <w:tc>
          <w:tcPr>
            <w:tcW w:type="dxa" w:w="43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使用转向图示搭配短句；B开始、C回入口。不增加单独教学关。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03 开局倒计时</w:t>
            </w:r>
          </w:p>
        </w:tc>
        <w:tc>
          <w:tcPr>
            <w:tcW w:type="dxa" w:w="432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 → 2 → 1 → GO四个状态，静止场地</w:t>
            </w:r>
          </w:p>
        </w:tc>
        <w:tc>
          <w:tcPr>
            <w:tcW w:type="dxa" w:w="43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顶栏隐藏；数字不遮挡初始角色和行进路径；最后一秒仍可看清场地。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04 局内顶栏</w:t>
            </w:r>
          </w:p>
        </w:tc>
        <w:tc>
          <w:tcPr>
            <w:tcW w:type="dxa" w:w="432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LV、本局骨头总数、三颗星位、BEST</w:t>
            </w:r>
          </w:p>
        </w:tc>
        <w:tc>
          <w:tcPr>
            <w:tcW w:type="dxa" w:w="43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正常、升档“加速!”、超过纪录高亮三种信息状态。没有ROUND和每关0/5。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05 暂停</w:t>
            </w:r>
          </w:p>
        </w:tc>
        <w:tc>
          <w:tcPr>
            <w:tcW w:type="dxa" w:w="432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压暗场地、暂停、A继续、C结束</w:t>
            </w:r>
          </w:p>
        </w:tc>
        <w:tc>
          <w:tcPr>
            <w:tcW w:type="dxa" w:w="43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不做A选择+B确认的二级菜单；背景场地保留。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06 结束确认</w:t>
            </w:r>
          </w:p>
        </w:tc>
        <w:tc>
          <w:tcPr>
            <w:tcW w:type="dxa" w:w="432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结束本局？、按当前成绩结算、继续游戏、结束本局</w:t>
            </w:r>
          </w:p>
        </w:tc>
        <w:tc>
          <w:tcPr>
            <w:tcW w:type="dxa" w:w="43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两种选中态；A切换、B确定、C取消；默认继续。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07 本局结果</w:t>
            </w:r>
          </w:p>
        </w:tc>
        <w:tc>
          <w:tcPr>
            <w:tcW w:type="dxa" w:w="432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本局结束、总骨头、0–3星、贝壳、最高纪录或新纪录、B再来一局、C返回</w:t>
            </w:r>
          </w:p>
        </w:tc>
        <w:tc>
          <w:tcPr>
            <w:tcW w:type="dxa" w:w="43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同一布局覆盖4档奖励；新纪录是独立状态，可与任意星级组合。C返回入口。</w:t>
            </w:r>
          </w:p>
        </w:tc>
      </w:tr>
    </w:tbl>
    <w:p/>
    <w:p>
      <w:pPr>
        <w:pStyle w:val="Heading2"/>
      </w:pPr>
      <w:r>
        <w:t>局内信息优先级</w:t>
      </w:r>
    </w:p>
    <w:p>
      <w:r>
        <w:t>左侧LV表示难度档位，不表示关数；骨头总数不归零。5、10、15根分别点亮第一、二、三颗星。获得第三颗星后保持三星，计分继续增长。</w:t>
      </w:r>
    </w:p>
    <w:p>
      <w:r>
        <w:t>本局超过旧纪录后，BEST高亮并随当前分数更新。非得星升档时，“加速!”暂替BEST显示约1秒，随后恢复纪录信息；得星与升档同帧时优先呈现得星反馈。</w:t>
      </w:r>
    </w:p>
    <w:p>
      <w:pPr>
        <w:pStyle w:val="Heading2"/>
      </w:pPr>
      <w:r>
        <w:t>结果页不得遗漏的样例</w:t>
      </w:r>
    </w:p>
    <w:p>
      <w:r>
        <w:t>3根=0星+5贝壳，8根=1星+10贝壳，12根=2星+20贝壳，26根=3星+30贝壳。旧纪录为0时，1根也应出现新纪录；不存在“三星才显示新纪录”的限制。</w:t>
      </w:r>
    </w:p>
    <w:p>
      <w:r>
        <w:br w:type="page"/>
      </w:r>
    </w:p>
    <w:p>
      <w:pPr>
        <w:pStyle w:val="Heading1"/>
      </w:pPr>
      <w:r>
        <w:t>5 UI需求 组件与动效规格</w:t>
      </w:r>
    </w:p>
    <w:p>
      <w:pPr>
        <w:pStyle w:val="Heading2"/>
      </w:pPr>
      <w:r>
        <w:t>统一视觉与版式</w:t>
      </w:r>
    </w:p>
    <w:p>
      <w:r>
        <w:t>采用像素硬边、深蓝底、低对比棋盘格、青绿色边框、暖金色焦点、米白正文。建议色板：背景#081923，棋盘#0D2633/#123241，边框#66C7B5，分隔#244D58，强调#F3C04F，正文#F4EDD6，次要文字#8DA5AD。颜色不能成为区分状态的唯一依据。</w:t>
      </w:r>
    </w:p>
    <w:p>
      <w:r>
        <w:t>关键内容距屏幕边缘至少12像素。场地固定200×200，左上角(20,30)，墙线放在场地外围，不挤占格子。顶栏在场地上方。正文12像素、标题24像素，采用可合法交付的像素字体；文字不烘焙进背景，数字字段预留到五位且不得互相覆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tblHeader/>
          <w:cantSplit/>
        </w:trPr>
        <w:tc>
          <w:tcPr>
            <w:tcW w:type="dxa" w:w="2232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组件或资源</w:t>
            </w:r>
          </w:p>
        </w:tc>
        <w:tc>
          <w:tcPr>
            <w:tcW w:type="dxa" w:w="7992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制作规格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标题和背景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标题在160×48像素区域内排版；入口角色用正式部件拼接。棋盘底可用40×40平铺纹理或程序绘制，文字独立排版。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按钮和弹窗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按钮原型基准：入口138×26，确认142×26，结果142×28；提供普通/选中态。确认184×154，暂停170×90；边框与底可伸缩。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计分及奖励图标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骨头、贝壳各16×16；星星提供未获得/已获得两态，9×9用于顶栏，整数3倍用于结果页。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按键与方向图标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A/B/C各16×16；局内方向箭头10×10，支持四向；教程右转/左转/直行图标各18×18，可旋转复用。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倒计时与字体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3/2/1建议在28×36区域内；GO使用24像素字号。交付所用字库及授权说明，覆盖正文中文、ASCII、数字和标点。</w:t>
            </w:r>
          </w:p>
        </w:tc>
      </w:tr>
    </w:tbl>
    <w:p/>
    <w:p>
      <w:pPr>
        <w:pStyle w:val="Heading2"/>
      </w:pPr>
      <w:r>
        <w:t>动效由程序驱动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tblHeader/>
          <w:cantSplit/>
        </w:trPr>
        <w:tc>
          <w:tcPr>
            <w:tcW w:type="dxa" w:w="2232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事件</w:t>
            </w:r>
          </w:p>
        </w:tc>
        <w:tc>
          <w:tcPr>
            <w:tcW w:type="dxa" w:w="7992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时序与效果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食物与得分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食物出现约250ms弹出；平时每600ms上下浮动2px。吃到后碎屑约320ms消散，分数约250ms弹动、400ms高亮。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获得一颗星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5个小骨头从计分区飞入目标星位，每个飞行300ms，依次相隔60ms；最后一个落下点亮星位，再弹动约300ms。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星星和新增障碍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已点亮星星周期性短扫光，三颗错开；新增障碍闪烁约900ms提示，不因此延后碰撞生效。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碰撞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场地短震动约320ms，角色闪烁、头部眩晕符号、碰撞处高亮；0.9秒后结算。三类碰撞共用结果布局，不写失败原因。</w:t>
            </w:r>
          </w:p>
        </w:tc>
      </w:tr>
    </w:tbl>
    <w:p/>
    <w:p>
      <w:r>
        <w:t>交付：独立Pixso文档的可编辑画板、组件状态、尺寸标注、字体及色板、导出清单；画板名称在屏幕外。无需制作无尽版的换关提示、三星通关页或历史排行榜页。</w:t>
      </w:r>
    </w:p>
    <w:p>
      <w:r>
        <w:br w:type="page"/>
      </w:r>
    </w:p>
    <w:p>
      <w:pPr>
        <w:pStyle w:val="Heading1"/>
      </w:pPr>
      <w:r>
        <w:t>6 美术需求 正式游戏资产</w:t>
      </w:r>
    </w:p>
    <w:p>
      <w:r>
        <w:t>本章用于正式资产制作，不要求复刻原型占位图。角色应识别为Doe的侧面腊肠狗，身体可连续延长，能看到四只脚；前脚随头、后脚随尾，变长时两对脚自然分开。保持复古像素街机风格和小屏轮廓可读性。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6408"/>
      </w:tblGrid>
      <w:tr>
        <w:trPr>
          <w:tblHeader/>
          <w:cantSplit/>
        </w:trPr>
        <w:tc>
          <w:tcPr>
            <w:tcW w:type="dxa" w:w="2160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资产ID及名称</w:t>
            </w:r>
          </w:p>
        </w:tc>
        <w:tc>
          <w:tcPr>
            <w:tcW w:type="dxa" w:w="1656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最终屏幕尺寸</w:t>
            </w:r>
          </w:p>
        </w:tc>
        <w:tc>
          <w:tcPr>
            <w:tcW w:type="dxa" w:w="6408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数量与制作要求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A01 头部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20×20</w:t>
            </w:r>
          </w:p>
        </w:tc>
        <w:tc>
          <w:tcPr>
            <w:tcW w:type="dxa" w:w="640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1张基准朝右；脖子接口与身体一致，面部在原尺寸可识别。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A02 直线身体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20×20</w:t>
            </w:r>
          </w:p>
        </w:tc>
        <w:tc>
          <w:tcPr>
            <w:tcW w:type="dxa" w:w="640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1张；可无缝连续拼接，横竖由程序旋转，接缝不露底或错位。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A03 直角身体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20×20</w:t>
            </w:r>
          </w:p>
        </w:tc>
        <w:tc>
          <w:tcPr>
            <w:tcW w:type="dxa" w:w="640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1张90°弯角；覆盖四种转角组合，粗细和接口与直线一致。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A04 尾部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20×20</w:t>
            </w:r>
          </w:p>
        </w:tc>
        <w:tc>
          <w:tcPr>
            <w:tcW w:type="dxa" w:w="640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1张；尾巴轮廓清晰，与身体接口一致；不随长度重新绘制。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A05 前脚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24×24</w:t>
            </w:r>
          </w:p>
        </w:tc>
        <w:tc>
          <w:tcPr>
            <w:tcW w:type="dxa" w:w="640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2帧循环，含前侧和后侧两只前脚；与头部中心锚点对齐。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A06 后脚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24×24</w:t>
            </w:r>
          </w:p>
        </w:tc>
        <w:tc>
          <w:tcPr>
            <w:tcW w:type="dxa" w:w="640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2帧循环，含前侧和后侧两只后脚；与尾部中心锚点对齐。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A07 骨头食物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20×20</w:t>
            </w:r>
          </w:p>
        </w:tc>
        <w:tc>
          <w:tcPr>
            <w:tcW w:type="dxa" w:w="640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1张；视觉主体置于格内，与身体、石头有清晰轮廓差异。浮动、弹出由程序处理。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A08 障碍石头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20×20</w:t>
            </w:r>
          </w:p>
        </w:tc>
        <w:tc>
          <w:tcPr>
            <w:tcW w:type="dxa" w:w="640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1张可重复单元；同一单元能横排或竖排3格，不依赖装饰性外扩传达碰撞范围。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A09 眩晕符号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6×6</w:t>
            </w:r>
          </w:p>
        </w:tc>
        <w:tc>
          <w:tcPr>
            <w:tcW w:type="dxa" w:w="640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1张像素小星或眩晕标记，供程序绕头部运动；不需画整段轨迹动画。</w:t>
            </w:r>
          </w:p>
        </w:tc>
      </w:tr>
    </w:tbl>
    <w:p/>
    <w:p>
      <w:pPr>
        <w:pStyle w:val="Heading2"/>
      </w:pPr>
      <w:r>
        <w:t>拼接与动画验收</w:t>
      </w:r>
    </w:p>
    <w:p>
      <w:pPr>
        <w:pStyle w:val="ListBullet"/>
      </w:pPr>
      <w:r>
        <w:t>以上尺寸均为240×240屏幕中的最终像素。角色格块逻辑范围20×20；脚层可四边各超出2像素，中心锚点(12,12)，不改变碰撞范围。</w:t>
      </w:r>
    </w:p>
    <w:p>
      <w:pPr>
        <w:pStyle w:val="ListBullet"/>
      </w:pPr>
      <w:r>
        <w:t>以朝右为基准交付，附旋转、镜像后的四向拼接校验图，覆盖直线、连续转角、头接弯角、尾接弯角。接口坐标和透明区须在源文件标明。</w:t>
      </w:r>
    </w:p>
    <w:p>
      <w:pPr>
        <w:pStyle w:val="ListBullet"/>
      </w:pPr>
      <w:r>
        <w:t>移动时前后脚错相循环，每格移动分4段切换姿态；暂停和倒计时使用站立帧。身体长度增长只增加格块，不增加脚的数量。</w:t>
      </w:r>
    </w:p>
    <w:p>
      <w:pPr>
        <w:pStyle w:val="ListBullet"/>
      </w:pPr>
      <w:r>
        <w:t>不额外交付任意长度的完整狗、每个方向的整身动画、食物飞行整段动画、碰撞闪色整段序列；这些由部件拼接和程序驱动。</w:t>
      </w:r>
    </w:p>
    <w:p>
      <w:pPr>
        <w:pStyle w:val="Heading2"/>
      </w:pPr>
      <w:r>
        <w:t>交付格式</w:t>
      </w:r>
    </w:p>
    <w:p>
      <w:r>
        <w:t>可编辑像素源文件＋透明PNG单帧，原生1倍导出，无抗锯齿、无模糊缩放、无JPEG、无烘焙扫描线或机壳。以asset_id与帧序号命名；附资源清单，记录画布、锚点、方向、帧顺序和循环方式。20×20是正式交付基准，程序负责导入适配。UI图标、字体、面板归第5章，不混入游戏角色资源。</w:t>
      </w:r>
    </w:p>
    <w:p>
      <w:r>
        <w:br w:type="page"/>
      </w:r>
    </w:p>
    <w:p>
      <w:pPr>
        <w:pStyle w:val="Heading1"/>
      </w:pPr>
      <w:r>
        <w:t>7 音频需求 BGM与音效</w:t>
      </w:r>
    </w:p>
    <w:p>
      <w:r>
        <w:t>本章交付给作曲、音效和音频程序。声音应有清晰的复古街机音色，旋律轻快、可长时间循环；提示音易辨认，避免持续尖锐高频。走路和普通转向不播放音效，避免快速连按形成噪声。</w:t>
      </w:r>
    </w:p>
    <w:p>
      <w:pPr>
        <w:pStyle w:val="Heading2"/>
      </w:pPr>
      <w:r>
        <w:t>BGM制作与播放</w:t>
      </w:r>
    </w:p>
    <w:p>
      <w:pPr>
        <w:pStyle w:val="ListBullet"/>
      </w:pPr>
      <w:r>
        <w:t>制作1首无缝循环BGM，建议20–40秒，无长开场和强收尾。升档复用同一首，不需要8首独立曲目。</w:t>
      </w:r>
    </w:p>
    <w:p>
      <w:pPr>
        <w:pStyle w:val="ListBullet"/>
      </w:pPr>
      <w:r>
        <w:t>基础速度为100%，每升一档增加4%，LV8为128%；最快版本仍应清晰、无明显失真。工程上需明确是加快音符时值或音频变速，不能假设已支持WAV变速。</w:t>
      </w:r>
    </w:p>
    <w:p>
      <w:pPr>
        <w:pStyle w:val="ListBullet"/>
      </w:pPr>
      <w:r>
        <w:t>只在局内移动时播放；倒计时、入口、说明和结果页不播放。暂停和结束确认时暂停，恢复后续播；一局结束停止，重开在下一次GO结束后从头播放。</w:t>
      </w:r>
    </w:p>
    <w:p>
      <w:pPr>
        <w:pStyle w:val="ListBullet"/>
      </w:pPr>
      <w:r>
        <w:t>BGM独立增益初值为25%，音效保留100%，允许后续真机微调。此处是相对线性增益，不等于主观响度25%；不把低音量直接烘焙进母带。</w:t>
      </w:r>
    </w:p>
    <w:p>
      <w:pPr>
        <w:pStyle w:val="Heading2"/>
      </w:pPr>
      <w:r>
        <w:t>音效清单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440"/>
        <w:gridCol w:w="6624"/>
      </w:tblGrid>
      <w:tr>
        <w:trPr>
          <w:tblHeader/>
          <w:cantSplit/>
        </w:trPr>
        <w:tc>
          <w:tcPr>
            <w:tcW w:type="dxa" w:w="2160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ID及事件</w:t>
            </w:r>
          </w:p>
        </w:tc>
        <w:tc>
          <w:tcPr>
            <w:tcW w:type="dxa" w:w="1440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6624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制作与触发要求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S01 吃到骨头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50–150ms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短促上扬，听感轻快；每根一次。与升档或得星重叠时不叠加单独吃骨声。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S02 倒计时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约90ms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3、2、1共用，同步每次数字切换。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S03 GO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约330ms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比倒计时更明亮，明确开始；GO出现时播放。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S04 升档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500–900ms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短上行音型；非得星升档时播放，不应遮蔽后续操作提示。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S05 得星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约900ms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骨头入星位时逐步上扬，最后明亮收束；与5个飞入节奏同步，提供分段时间标注。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S06 碰撞结束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约560ms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清晰失败反馈但不过分刺耳；墙、石头和自身碰撞共用。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S07 暂停与继续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约100ms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短提示，两次状态切换可复用同一资源。</w:t>
            </w:r>
          </w:p>
        </w:tc>
      </w:tr>
    </w:tbl>
    <w:p/>
    <w:p>
      <w:pPr>
        <w:pStyle w:val="Heading2"/>
      </w:pPr>
      <w:r>
        <w:t>混音与交付</w:t>
      </w:r>
    </w:p>
    <w:p>
      <w:r>
        <w:t>音效优先于BGM；当前交互按单通道让位设计，同帧事件优先级为碰撞结束 &gt; 得星 &gt; 升档 &gt; 吃骨头。BGM让位后按原时间线继续，不每次从头播放。主动结束不播放碰撞音，不额外要求通关或新纪录曲目。</w:t>
      </w:r>
    </w:p>
    <w:p>
      <w:r>
        <w:t>交付单声道44.1kHz、16-bit PCM WAV及音频源工程；BGM另附MIDI或音高/时值事件表，标注循环点、分段触发点和基础速度。WAV用于审听与正式音频接入，事件表用于合成播放适配；程序需按最终硬件播放能力确认运行格式。所有文件无削波，首尾无爆音，循环接缝不可闻。</w:t>
      </w:r>
    </w:p>
    <w:p>
      <w:r>
        <w:br w:type="page"/>
      </w:r>
    </w:p>
    <w:p>
      <w:pPr>
        <w:pStyle w:val="Heading1"/>
      </w:pPr>
      <w:r>
        <w:t>8 验收与交付检查</w:t>
      </w:r>
    </w:p>
    <w:p>
      <w:pPr>
        <w:pStyle w:val="Heading2"/>
      </w:pPr>
      <w:r>
        <w:t>程序与交互验收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tblHeader/>
          <w:cantSplit/>
        </w:trPr>
        <w:tc>
          <w:tcPr>
            <w:tcW w:type="dxa" w:w="1656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8568"/>
            <w:shd w:fill="EDF2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输入缓存</w:t>
            </w:r>
          </w:p>
        </w:tc>
        <w:tc>
          <w:tcPr>
            <w:tcW w:type="dxa" w:w="85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同一节拍B一次右转、两次直行、三次左转；第四次忽略；长按不连发。跨节拍输入按实际到达时间归属。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成长与碰撞</w:t>
            </w:r>
          </w:p>
        </w:tc>
        <w:tc>
          <w:tcPr>
            <w:tcW w:type="dxa" w:w="85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第1根不增长、第2根增长；能进入本步离开的尾格；碰撞墙、石头、身体均结束且只结算一次。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难度边界</w:t>
            </w:r>
          </w:p>
        </w:tc>
        <w:tc>
          <w:tcPr>
            <w:tcW w:type="dxa" w:w="85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在5/10/15/25/35/45/55根准确升档；55根后维持250ms和最多6段。追加障碍不重置身体。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生成公平</w:t>
            </w:r>
          </w:p>
        </w:tc>
        <w:tc>
          <w:tcPr>
            <w:tcW w:type="dxa" w:w="85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骨头不压身体或石头；新增石头避开头附近和正前方，失败允许少放；静态空地连通且无死胡同。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暂停与确认</w:t>
            </w:r>
          </w:p>
        </w:tc>
        <w:tc>
          <w:tcPr>
            <w:tcW w:type="dxa" w:w="85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暂停不移动；继续获得完整节拍；确认期间冻结，取消不补走时间；碰撞与返回同帧优先碰撞。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结算</w:t>
            </w:r>
          </w:p>
        </w:tc>
        <w:tc>
          <w:tcPr>
            <w:tcW w:type="dxa" w:w="85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0/4根=0星5贝壳，5/9根=1星10贝壳，10/14根=2星20贝壳，15根及以上=3星30贝壳；神为星数。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主动结束</w:t>
            </w:r>
          </w:p>
        </w:tc>
        <w:tc>
          <w:tcPr>
            <w:tcW w:type="dxa" w:w="85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暂停中C直接结算；运行和倒计时中C先确认；0分主动结束也得5贝壳；与三关版退出规则隔离。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最高纪录</w:t>
            </w:r>
          </w:p>
        </w:tc>
        <w:tc>
          <w:tcPr>
            <w:tcW w:type="dxa" w:w="85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超过才更新，相等不标新纪录；正常结算后重启仍保留；入口、局内和结果的数据一致。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系统与页面</w:t>
            </w:r>
          </w:p>
        </w:tc>
        <w:tc>
          <w:tcPr>
            <w:tcW w:type="dxa" w:w="85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达到三星继续移动；无ROUND及换关；游戏、暂停和结果不因10秒无操作自动离开；每局均有完整倒计时。</w:t>
            </w:r>
          </w:p>
        </w:tc>
      </w:tr>
    </w:tbl>
    <w:p/>
    <w:p>
      <w:pPr>
        <w:pStyle w:val="Heading2"/>
      </w:pPr>
      <w:r>
        <w:t>视觉与音频验收</w:t>
      </w:r>
    </w:p>
    <w:p>
      <w:r>
        <w:t>在1.54英寸真机上检查原尺寸可读性、按键提示和动态数字是否溢出；角色四向拼接与四脚位置正确，增长后仅前后脚分离；障碍与骨头不会因特效被误判；完成0–3星、新纪录和最高分0的状态检查。BGM音量显著低于音效，暂停/续播、快速升档和循环无爆音。</w:t>
      </w:r>
    </w:p>
    <w:p>
      <w:pPr>
        <w:pStyle w:val="Heading2"/>
      </w:pPr>
      <w:r>
        <w:t>跨部门交付边界</w:t>
      </w:r>
    </w:p>
    <w:p>
      <w:r>
        <w:t>程序交付规则、状态、存档和奖励接入；美术交付第6章正式部件；UI交付第4、5章可编辑页面与组件；音频交付第7章音乐和提示音。正式接入时，程序负责把20像素格块、字库与音频格式适配到运行时。</w:t>
      </w:r>
    </w:p>
    <w:p>
      <w:r>
        <w:t>上线接入检查：最高纪录落盘与奖励到账须由正式服务验收；同局奖励不可重复领取。正式游戏资产总内存、纹理/音频压缩格式与加载方式，由程序在实机资源预算内确认，不能仅以模拟器可运行为准。</w:t>
      </w:r>
    </w:p>
    <w:p>
      <w:r>
        <w:t>核对基线：core/games/sausage.c与sausage.h，page_sausage.c，page_sausage_entry.c，sausage_ui.h，ui_sfx.c，game_service.c；结合已确认的1.54英寸屏幕与无尽版交互。文件名仅供研发追溯，不作为美术或音频制作素材。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Arial" w:hAnsi="Arial" w:eastAsia="PingFang SC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6" w:lineRule="auto"/>
      <w:outlineLvl w:val="0"/>
    </w:pPr>
    <w:rPr>
      <w:rFonts w:ascii="Arial" w:hAnsi="Arial" w:eastAsia="PingFang SC"/>
      <w:b/>
      <w:bCs/>
      <w:color w:val="11111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="Arial" w:hAnsi="Arial" w:eastAsia="PingFang SC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="Arial" w:hAnsi="Arial" w:eastAsia="PingFang SC"/>
      <w:color w:val="11111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6" w:lineRule="auto"/>
    </w:pPr>
    <w:rPr>
      <w:rFonts w:ascii="Arial" w:hAnsi="Arial" w:eastAsia="PingFang SC"/>
      <w:i/>
      <w:iCs/>
      <w:color w:val="11111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PingFang SC"/>
        <w:b/>
        <w:bCs/>
      </w:rPr>
    </w:tblStylePr>
    <w:tblStylePr w:type="lastCol">
      <w:rPr>
        <w:rFonts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PingFang SC"/>
        <w:b/>
        <w:bCs/>
      </w:rPr>
    </w:tblStylePr>
    <w:tblStylePr w:type="lastCol">
      <w:rPr>
        <w:rFonts w:eastAsia="PingFang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PingFang SC"/>
        <w:b/>
        <w:bCs/>
      </w:rPr>
    </w:tblStylePr>
    <w:tblStylePr w:type="lastCol">
      <w:rPr>
        <w:rFonts w:eastAsia="PingFang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PingFang SC"/>
        <w:b/>
        <w:bCs/>
      </w:rPr>
    </w:tblStylePr>
    <w:tblStylePr w:type="lastCol">
      <w:rPr>
        <w:rFonts w:eastAsia="PingFang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PingFang SC"/>
        <w:b/>
        <w:bCs/>
      </w:rPr>
    </w:tblStylePr>
    <w:tblStylePr w:type="lastCol">
      <w:rPr>
        <w:rFonts w:eastAsia="PingFang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PingFang SC"/>
        <w:b/>
        <w:bCs/>
      </w:rPr>
    </w:tblStylePr>
    <w:tblStylePr w:type="lastCol">
      <w:rPr>
        <w:rFonts w:eastAsia="PingFang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PingFang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PingFang SC"/>
        <w:b/>
        <w:bCs/>
      </w:rPr>
    </w:tblStylePr>
    <w:tblStylePr w:type="lastCol">
      <w:rPr>
        <w:rFonts w:eastAsia="PingFang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PingFang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PingFang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PingFang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PingFang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PingFang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PingFang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PingFang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