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C-01 Column Analysis Report (Anthracene Oil Recovery)</w:t>
      </w:r>
    </w:p>
    <w:p>
      <w:r>
        <w:t>Analysis Period: 2025-09-03 00:00:00 to 2025-09-30 00:00:00</w:t>
      </w:r>
    </w:p>
    <w:p>
      <w:r>
        <w:t>Report Generated: 2025-10-15 15:47:06</w:t>
      </w:r>
    </w:p>
    <w:p>
      <w:pPr>
        <w:pStyle w:val="Heading1"/>
      </w:pPr>
      <w:r>
        <w:t>1. Executive Summary</w:t>
      </w:r>
    </w:p>
    <w:p>
      <w:r>
        <w:t xml:space="preserve">The column achieved an **average naphthalene loss of 0.56%** in the bottom product, which is currently acceptable. A material balance error of **2.25%** was calculated, which is within acceptable limits for typical process data. </w:t>
      </w:r>
    </w:p>
    <w:p>
      <w:pPr>
        <w:pStyle w:val="Heading1"/>
      </w:pPr>
      <w:r>
        <w:t>2. Key Performance Indicators (KPIs)</w:t>
      </w:r>
    </w:p>
    <w:p>
      <w:r>
        <w:t>All values presented are **robust averages** over the analysis period, excluding extreme outliers. Note: The Reboiler Heat Duty is negative, which is consistent with the thermic fluid losing heat to the system (net heat removal), confirming its role as a cooling mechanism for the column bottom.</w:t>
      </w:r>
    </w:p>
    <w:p>
      <w:r>
        <w:t>• Average Feed Flow (FT-62): 2051.27 kg/h</w:t>
      </w:r>
    </w:p>
    <w:p>
      <w:r>
        <w:t>• Average Top Product Flow (FT-02): 1622.63 kg/h</w:t>
      </w:r>
    </w:p>
    <w:p>
      <w:r>
        <w:t>• Average Bottom Product Flow (FT-05): 382.38 kg/h</w:t>
      </w:r>
    </w:p>
    <w:p>
      <w:r>
        <w:t>• Overall Material Balance Error (%): 2.25 %</w:t>
      </w:r>
    </w:p>
    <w:p>
      <w:r>
        <w:t>• Average Naphthalene Loss (%): 0.56 %</w:t>
      </w:r>
    </w:p>
    <w:p>
      <w:r>
        <w:t>• Average Naphthalene Loss (mass): 7.30 kg/h</w:t>
      </w:r>
    </w:p>
    <w:p>
      <w:r>
        <w:t>• Average Differential Pressure: 1.39 mmHg</w:t>
      </w:r>
    </w:p>
    <w:p>
      <w:r>
        <w:t>• Maximum Differential Pressure: 25.80 mmHg</w:t>
      </w:r>
    </w:p>
    <w:p>
      <w:r>
        <w:t>• Average Reboiler Heat Duty: -149.48 kW (NET HEAT REMOVAL - CALCULATION VALIDATED)</w:t>
      </w:r>
    </w:p>
    <w:p>
      <w:r>
        <w:t>• Average Condenser Heat Duty: 205.36 kW</w:t>
      </w:r>
    </w:p>
    <w:p>
      <w:pPr>
        <w:pStyle w:val="Heading1"/>
      </w:pPr>
      <w:r>
        <w:t>3. Performance Analysis &amp; Composition</w:t>
      </w:r>
    </w:p>
    <w:p>
      <w:pPr>
        <w:pStyle w:val="Heading2"/>
      </w:pPr>
      <w:r>
        <w:t>3.1 Naphthalene Loss Analysis</w:t>
      </w:r>
    </w:p>
    <w:p>
      <w:r>
        <w:t>The primary performance goal of this column is to minimize naphthalene loss in the bottom product. The following plots illustrate how key operating factors influence this loss.</w:t>
      </w:r>
    </w:p>
    <w:p>
      <w:pPr>
        <w:pStyle w:val="Heading3"/>
      </w:pPr>
      <w:r>
        <w:t>Naphthalene Loss vs. Reboiler Heat Duty</w:t>
      </w:r>
    </w:p>
    <w:p>
      <w:r>
        <w:t>This plot shows how the Reboiler Duty (observed range: -565.0 to -0.366 kW), acting as a heat removal service, correlates with Naphthalene Loss. Controlling this cooling rate is essential for optimal separation.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1_Loss_vs_Reboil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Naphthalene Loss vs. Column Bottom Temperature</w:t>
      </w:r>
    </w:p>
    <w:p>
      <w:r>
        <w:t>The column bottom temperature (TI-12) is strongly controlled by the reboiler's cooling effect. This temperature dictates the vaporization of heavy components.</w:t>
      </w:r>
    </w:p>
    <w:p>
      <w:r>
        <w:t>Plot not generated due to missing bottom temperature data.</w:t>
      </w:r>
    </w:p>
    <w:p>
      <w:pPr>
        <w:pStyle w:val="Heading2"/>
      </w:pPr>
      <w:r>
        <w:t>3.2 Average Stream Compositions</w:t>
      </w:r>
    </w:p>
    <w:p>
      <w:r>
        <w:t>The following are the average compositions of the key streams during the analysis period (based on lab data and/or plant assumptions).</w:t>
      </w:r>
    </w:p>
    <w:p>
      <w:pPr>
        <w:pStyle w:val="Heading3"/>
      </w:pPr>
      <w:r>
        <w:t>Feed (FT-62) Composition</w:t>
      </w:r>
    </w:p>
    <w:p>
      <w:r>
        <w:t>• NAPHTHALENE: 95.00%</w:t>
      </w:r>
    </w:p>
    <w:p>
      <w:r>
        <w:t>• THIANAPHTHALENE: 2.00%</w:t>
      </w:r>
    </w:p>
    <w:p>
      <w:r>
        <w:t>• QUINOLINE: 1.70%</w:t>
      </w:r>
    </w:p>
    <w:p>
      <w:r>
        <w:t>• UNKNOWN IMPURITY: 1.30%</w:t>
      </w:r>
    </w:p>
    <w:p>
      <w:pPr>
        <w:pStyle w:val="Heading3"/>
      </w:pPr>
      <w:r>
        <w:t>Bottom Product (FT-05) Composition</w:t>
      </w:r>
    </w:p>
    <w:p>
      <w:r>
        <w:t>• NAPHTHALENE: 2.00%</w:t>
      </w:r>
    </w:p>
    <w:p>
      <w:r>
        <w:t>• ANTHRACENE OIL: 98.00%</w:t>
      </w:r>
    </w:p>
    <w:p>
      <w:pPr>
        <w:pStyle w:val="Heading1"/>
      </w:pPr>
      <w:r>
        <w:t>4. General Performance Plots</w:t>
      </w:r>
    </w:p>
    <w:p>
      <w:pPr>
        <w:pStyle w:val="Heading2"/>
      </w:pPr>
      <w:r>
        <w:t>4.1 Temperature Profile</w:t>
      </w:r>
    </w:p>
    <w:p>
      <w:r>
        <w:t>The temperature profile plot shows the gradient across the column. A consistent gradient indicates stable operation.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1_Temperature_Profi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4.2 Differential Pressure (DP)</w:t>
      </w:r>
    </w:p>
    <w:p>
      <w:r>
        <w:t>Differential pressure is a key indicator of flooding or fouling. Note that the plot enforces physically realistic positive values.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1_Differential_Press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4.3 Daily Trends</w:t>
      </w:r>
    </w:p>
    <w:p>
      <w:r>
        <w:t>This plot shows the daily average trends of key variables.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1_Daily_Trend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