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C-02 Light Oil Recovery Column Analysis Report</w:t>
      </w:r>
    </w:p>
    <w:p>
      <w:r>
        <w:t>Analysis Period: 2025-09-03 00:00:00 to 2025-09-30 00:00:00</w:t>
      </w:r>
    </w:p>
    <w:p>
      <w:r>
        <w:t>Report Generated: 2025-10-15 17:30:47</w:t>
      </w:r>
    </w:p>
    <w:p>
      <w:pPr>
        <w:pStyle w:val="Heading1"/>
      </w:pPr>
      <w:r>
        <w:t>1. Executive Summary</w:t>
      </w:r>
    </w:p>
    <w:p>
      <w:r>
        <w:t xml:space="preserve">The **Reboiler Heat Duty (IQR Cleaned)** averaged -596.51 kW. The **Condenser Heat Duty (IQR Cleaned)** averaged 341.53 kW. The C-02 column had a material balance error of 94.27%. The column operated with a stable **Reflux Ratio (IQR Median)** of **58.22**. The central 50% of operation fell between 51.61 and 65.20. The naphthalene loss in the C-01 column was calculated to be 3.17%, which is **above the acceptable limit**. Naphthalene concentration in the C-02 top product was found to be 8.00%. 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period. Averages for Reflux Ratio and Heat Duties are calculated using the robust Median from the IQR method.</w:t>
      </w:r>
    </w:p>
    <w:p>
      <w:r>
        <w:t>• **C-00 Overall Material Balance Error (%)**: 4.64 %</w:t>
      </w:r>
    </w:p>
    <w:p>
      <w:r>
        <w:t>• **Naphthalene Loss in C-01 (%)**: 3.17 %</w:t>
      </w:r>
    </w:p>
    <w:p>
      <w:r>
        <w:t>• **C-02 Overall Material Balance Error (%)**: 94.27 %</w:t>
      </w:r>
    </w:p>
    <w:p>
      <w:r>
        <w:t>• **Average Differential Pressure**: 209.91 mmHg</w:t>
      </w:r>
    </w:p>
    <w:p>
      <w:r>
        <w:t>• **Maximum Differential Pressure**: 396.44 mmHg</w:t>
      </w:r>
    </w:p>
    <w:p>
      <w:r>
        <w:t>• **Average Reboiler Heat Duty**: -596.51 kW</w:t>
      </w:r>
    </w:p>
    <w:p>
      <w:r>
        <w:t>• **Average Condenser Heat Duty**: 341.53 kW</w:t>
      </w:r>
    </w:p>
    <w:p>
      <w:r>
        <w:t xml:space="preserve">• **Average Reflux Ratio (IQR Median)**: 58.22 </w:t>
      </w:r>
    </w:p>
    <w:p>
      <w:r>
        <w:t>• **Reboiler Temp (TI-72B)**: 236.57 degC</w:t>
      </w:r>
    </w:p>
    <w:p>
      <w:r>
        <w:t>• **Naphthalene in C-02 Top Product (%)**: 8.00 %</w:t>
      </w:r>
    </w:p>
    <w:p>
      <w:pPr>
        <w:pStyle w:val="Heading1"/>
      </w:pPr>
      <w:r>
        <w:t>3. Data Integrity and Outlier Analysis</w:t>
      </w:r>
    </w:p>
    <w:p>
      <w:pPr>
        <w:pStyle w:val="Heading2"/>
      </w:pPr>
      <w:r>
        <w:t>3.1 Standard Outlier Capping ($\pm 3\sigma$)</w:t>
      </w:r>
    </w:p>
    <w:p>
      <w:r>
        <w:t>Data for general process tags (flows, temperatures, DP) were capped to the $3\sigma$ limit.</w:t>
      </w:r>
    </w:p>
    <w:p>
      <w:r>
        <w:t>• **FT_01**: 1099 outlier data points were capped.</w:t>
      </w:r>
    </w:p>
    <w:p>
      <w:r>
        <w:t>• **FT_02**: 32 outlier data points were capped.</w:t>
      </w:r>
    </w:p>
    <w:p>
      <w:r>
        <w:t>• **FT_03**: 1656 outlier data points were capped.</w:t>
      </w:r>
    </w:p>
    <w:p>
      <w:r>
        <w:t>• **FT_06**: 1682 outlier data points were capped.</w:t>
      </w:r>
    </w:p>
    <w:p>
      <w:r>
        <w:t>• **TI_72B**: 892 outlier data points were capped.</w:t>
      </w:r>
    </w:p>
    <w:p>
      <w:r>
        <w:t>• **TI_13**: 875 outlier data points were capped.</w:t>
      </w:r>
    </w:p>
    <w:p>
      <w:pPr>
        <w:pStyle w:val="Heading2"/>
      </w:pPr>
      <w:r>
        <w:t>3.2 Robust Average Calculation (IQR Method)</w:t>
      </w:r>
    </w:p>
    <w:p>
      <w:r>
        <w:t xml:space="preserve">Outliers in critical metrics (Reflux Ratio and Heat Duties) were filtered using the Interquartile Range ($1.5 </w:t>
        <w:tab/>
        <w:t>imes IQR$) method. The table below shows the Median (robust average) and the central 50% operating range ($Q1$ to $Q3$).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Metric</w:t>
            </w:r>
          </w:p>
        </w:tc>
        <w:tc>
          <w:tcPr>
            <w:tcW w:type="dxa" w:w="1440"/>
          </w:tcPr>
          <w:p>
            <w:r>
              <w:t>Median (Robust Average)</w:t>
            </w:r>
          </w:p>
        </w:tc>
        <w:tc>
          <w:tcPr>
            <w:tcW w:type="dxa" w:w="1440"/>
          </w:tcPr>
          <w:p>
            <w:r>
              <w:t>Q1 (25th Percentile)</w:t>
            </w:r>
          </w:p>
        </w:tc>
        <w:tc>
          <w:tcPr>
            <w:tcW w:type="dxa" w:w="1440"/>
          </w:tcPr>
          <w:p>
            <w:r>
              <w:t>Q3 (75th Percentile)</w:t>
            </w:r>
          </w:p>
        </w:tc>
        <w:tc>
          <w:tcPr>
            <w:tcW w:type="dxa" w:w="1440"/>
          </w:tcPr>
          <w:p>
            <w:r>
              <w:t>Points Removed</w:t>
            </w:r>
          </w:p>
        </w:tc>
        <w:tc>
          <w:tcPr>
            <w:tcW w:type="dxa" w:w="1440"/>
          </w:tcPr>
          <w:p>
            <w:r>
              <w:t>% Removed</w:t>
            </w:r>
          </w:p>
        </w:tc>
      </w:tr>
      <w:tr>
        <w:tc>
          <w:tcPr>
            <w:tcW w:type="dxa" w:w="1440"/>
          </w:tcPr>
          <w:p>
            <w:r>
              <w:t>REFLUX_RATIO</w:t>
            </w:r>
          </w:p>
        </w:tc>
        <w:tc>
          <w:tcPr>
            <w:tcW w:type="dxa" w:w="1440"/>
          </w:tcPr>
          <w:p>
            <w:r>
              <w:t>58.22</w:t>
            </w:r>
          </w:p>
        </w:tc>
        <w:tc>
          <w:tcPr>
            <w:tcW w:type="dxa" w:w="1440"/>
          </w:tcPr>
          <w:p>
            <w:r>
              <w:t>51.61</w:t>
            </w:r>
          </w:p>
        </w:tc>
        <w:tc>
          <w:tcPr>
            <w:tcW w:type="dxa" w:w="1440"/>
          </w:tcPr>
          <w:p>
            <w:r>
              <w:t>65.20</w:t>
            </w:r>
          </w:p>
        </w:tc>
        <w:tc>
          <w:tcPr>
            <w:tcW w:type="dxa" w:w="1440"/>
          </w:tcPr>
          <w:p>
            <w:r>
              <w:t>2,599</w:t>
            </w:r>
          </w:p>
        </w:tc>
        <w:tc>
          <w:tcPr>
            <w:tcW w:type="dxa" w:w="1440"/>
          </w:tcPr>
          <w:p>
            <w:r>
              <w:t>6.83%</w:t>
            </w:r>
          </w:p>
        </w:tc>
      </w:tr>
      <w:tr>
        <w:tc>
          <w:tcPr>
            <w:tcW w:type="dxa" w:w="1440"/>
          </w:tcPr>
          <w:p>
            <w:r>
              <w:t>REBOILER_HEAT_DUTY</w:t>
            </w:r>
          </w:p>
        </w:tc>
        <w:tc>
          <w:tcPr>
            <w:tcW w:type="dxa" w:w="1440"/>
          </w:tcPr>
          <w:p>
            <w:r>
              <w:t>-596.51 (kW)</w:t>
            </w:r>
          </w:p>
        </w:tc>
        <w:tc>
          <w:tcPr>
            <w:tcW w:type="dxa" w:w="1440"/>
          </w:tcPr>
          <w:p>
            <w:r>
              <w:t>-629.36 (kW)</w:t>
            </w:r>
          </w:p>
        </w:tc>
        <w:tc>
          <w:tcPr>
            <w:tcW w:type="dxa" w:w="1440"/>
          </w:tcPr>
          <w:p>
            <w:r>
              <w:t>-535.04 (kW)</w:t>
            </w:r>
          </w:p>
        </w:tc>
        <w:tc>
          <w:tcPr>
            <w:tcW w:type="dxa" w:w="1440"/>
          </w:tcPr>
          <w:p>
            <w:r>
              <w:t>7,009</w:t>
            </w:r>
          </w:p>
        </w:tc>
        <w:tc>
          <w:tcPr>
            <w:tcW w:type="dxa" w:w="1440"/>
          </w:tcPr>
          <w:p>
            <w:r>
              <w:t>18.41%</w:t>
            </w:r>
          </w:p>
        </w:tc>
      </w:tr>
      <w:tr>
        <w:tc>
          <w:tcPr>
            <w:tcW w:type="dxa" w:w="1440"/>
          </w:tcPr>
          <w:p>
            <w:r>
              <w:t>CONDENSER_HEAT_DUTY</w:t>
            </w:r>
          </w:p>
        </w:tc>
        <w:tc>
          <w:tcPr>
            <w:tcW w:type="dxa" w:w="1440"/>
          </w:tcPr>
          <w:p>
            <w:r>
              <w:t>341.53 (kW)</w:t>
            </w:r>
          </w:p>
        </w:tc>
        <w:tc>
          <w:tcPr>
            <w:tcW w:type="dxa" w:w="1440"/>
          </w:tcPr>
          <w:p>
            <w:r>
              <w:t>292.78 (kW)</w:t>
            </w:r>
          </w:p>
        </w:tc>
        <w:tc>
          <w:tcPr>
            <w:tcW w:type="dxa" w:w="1440"/>
          </w:tcPr>
          <w:p>
            <w:r>
              <w:t>370.66 (kW)</w:t>
            </w:r>
          </w:p>
        </w:tc>
        <w:tc>
          <w:tcPr>
            <w:tcW w:type="dxa" w:w="1440"/>
          </w:tcPr>
          <w:p>
            <w:r>
              <w:t>6,083</w:t>
            </w:r>
          </w:p>
        </w:tc>
        <w:tc>
          <w:tcPr>
            <w:tcW w:type="dxa" w:w="1440"/>
          </w:tcPr>
          <w:p>
            <w:r>
              <w:t>15.97%</w:t>
            </w:r>
          </w:p>
        </w:tc>
      </w:tr>
    </w:tbl>
    <w:p>
      <w:pPr>
        <w:pStyle w:val="Heading1"/>
      </w:pPr>
      <w:r>
        <w:t>4. Material Balance Analysis</w:t>
      </w:r>
    </w:p>
    <w:p>
      <w:pPr>
        <w:pStyle w:val="Heading2"/>
      </w:pPr>
      <w:r>
        <w:t>4.1 C-00 and C-01 Material Balance</w:t>
      </w:r>
    </w:p>
    <w:p>
      <w:r>
        <w:t>• C-00 Overall Material Balance Error: 4.64%</w:t>
      </w:r>
    </w:p>
    <w:p>
      <w:r>
        <w:t>• Naphthalene Loss in C-01: 3.17%</w:t>
      </w:r>
    </w:p>
    <w:p>
      <w:r>
        <w:t xml:space="preserve">    - ALERT: Naphthalene loss is above the 2% limit.</w:t>
      </w:r>
    </w:p>
    <w:p>
      <w:pPr>
        <w:pStyle w:val="Heading2"/>
      </w:pPr>
      <w:r>
        <w:t>4.2 C-02 Material Balance</w:t>
      </w:r>
    </w:p>
    <w:p>
      <w:r>
        <w:t>• C-02 Overall Material Balance Error: 94.27%</w:t>
      </w:r>
    </w:p>
    <w:p>
      <w:pPr>
        <w:pStyle w:val="Heading2"/>
      </w:pPr>
      <w:r>
        <w:t>4.3 Component-wise Balance</w:t>
      </w:r>
    </w:p>
    <w:p>
      <w:r>
        <w:t>Detailed component balance requires lab data on all input/output streams.</w:t>
      </w:r>
    </w:p>
    <w:p>
      <w:pPr>
        <w:pStyle w:val="Heading1"/>
      </w:pPr>
      <w:r>
        <w:t>5. Performance Plots</w:t>
      </w:r>
    </w:p>
    <w:p>
      <w:pPr>
        <w:pStyle w:val="Heading2"/>
      </w:pPr>
      <w:r>
        <w:t>5.1 Naphthalene in Top Product vs. Reflux Ratio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flu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5.2 Naphthalene in Top Product vs. Reboiler Temperature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boiler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5.3 Feed vs. Differential Pressure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Feed_vs_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5.4 Temperature Profile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Temperature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5.5 Differential Pressure (DP)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ifferential_Press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5.6 Daily Trends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aily_Trend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