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ЧЕГО Я ХОЧУ?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МОДУЛЬ 2.2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Погружение в природу желаний и их источников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Реактивность и проактивность. Инертность и осознанность на внутреннем уровне. Внутреннее устройство трёх центров.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Практика наблюдения природы желаний, практика управления желаниям.Трансформация энергии желаний. Наблюдение процесса обмена энергией между центрами.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 различать истинные и ложные желания?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явно истинное, а что ложное?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инерция? Что такое реакция?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значит быть проактивным?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 внутреннем уровне рождаются и развиваются желания?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мы получаем энергию? Еда, воздух и впечатления.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мы расходуем энергию?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Вечный двигатель, философский камень, бесконечная энергия.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получить больше энергии для реализации истинного желания?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Проактивная реализация всех этапов на пути развития желания / на пути достижения цели.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Расширять зону активного внимания.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Отслеживать развивающиеся связи между эмоциями, мыслями и действиями.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Влиять на желания и изменять их.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Выработать механизм простого и понятного отслеживания истинных и ложных желаний и работать с ним.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Готовиться к формулированию цели - это значит быть нацеленным на результат во время практики и выполнения упражнений, помнить о более Высокой задаче, о более Высокой цели всей практики ШИН-ЛАП.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