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ЧТО МНЕ ДЕЛАТЬ?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4.4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Планирование пути к многоуровневой цели и написание обязательств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Тело, эмоции, ум, истинные желания, отношения, финансы и ценности. Цели на год, планирование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Спланировать дальнейшие действия по системе. Составить план достижения осознанной многоуровневой цели и написать обязательства по реализации этого плана.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Почему важно планирование?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Можно ли жить осознанно и не иметь никаких целей и желаний?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Здесь и сейчас -&gt; всегда и везде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вы что-то замечаете умом, то можете направить волю на это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 здесь, потому что хотите что-то изменить в своей жизни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Сейчас или никогда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Вспомнить формулировку цели (перечитать)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Вспомнить психическую проекцию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по пунктам, где и какие изменения должны произойти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Поставить цели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циклы или планы по достижению целей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эннеаграмма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майнд-карту своего “проекта”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Поставить краткосрочные и долгосрочные цели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обязательства по выполнению плана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