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Ministerial Brief Format</w:t>
      </w:r>
    </w:p>
    <w:p>
      <w:pPr>
        <w:spacing w:after="200"/>
      </w:pPr>
      <w:r>
        <w:rPr>
          <w:i/>
          <w:iCs/>
          <w:color w:val="666666"/>
        </w:rPr>
        <w:t xml:space="preserve">Department standard — illustrative version for the DEWR Agentic AI Bootcamp. Not official Australian Government policy.</w:t>
      </w:r>
    </w:p>
    <w:p>
      <w:pPr>
        <w:pStyle w:val="Heading1"/>
      </w:pPr>
      <w:r>
        <w:t xml:space="preserve">Purpose</w:t>
      </w:r>
    </w:p>
    <w:p>
      <w:r>
        <w:t xml:space="preserve">This document sets out the required structure and rules for a ministerial brief. Use it to format every brief, and follow each rule exactly. Every statistic must cite its source and period.</w:t>
      </w:r>
    </w:p>
    <w:p>
      <w:pPr>
        <w:pStyle w:val="Heading1"/>
      </w:pPr>
      <w:r>
        <w:t xml:space="preserve">Required structure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Classification marking — OFFICIAL or OFFICIAL: Sensitive — at the very top of the brief.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SUBJECT — a short title for the brief.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PURPOSE — one sentence beginning with “To inform”, “To advise”, or “To seek approval”.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KEY POINTS — no more than 5 bullet points; every statistic cited with source and period.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BACKGROUND — no more than 300 words.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FINANCIAL IMPLICATIONS — always include this section; state “No direct financial implications” if there are none.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SUGGESTED TALKING POINTS — 3 to 4 short, data-grounded, politically neutral points the Minister can use in the meeting.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ACTION — state “For Noting” or “For Decision/Approval”.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CONTACT OFFICER — at the end, with a name, title, phone number, and date.</w:t>
      </w:r>
    </w:p>
    <w:p>
      <w:pPr>
        <w:pStyle w:val="Heading1"/>
      </w:pPr>
      <w:r>
        <w:t xml:space="preserve">Rules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Rule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74E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PURPOSE is one sentence starting with “To inform”, “To advise”, or “To seek approval”.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KEY POINTS has a maximum of 5 bullet points.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Every statistic cites its source and period, e.g. “(JSA Occupation Shortage List 2025, April 2026)”.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FINANCIAL IMPLICATIONS section is always present, even if it states “No direct financial implications”.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classification marking (OFFICIAL or OFFICIAL: Sensitive) appears at the top.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BACKGROUND is 300 words or fewer.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7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contact officer with name, title, phone, and date appears at the end.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8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The action type is stated: “For Noting” or “For Decision/Approval”.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9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SUGGESTED TALKING POINTS section offers 3–4 short, data-grounded, politically neutral points the Minister can use in the meeting.</w:t>
            </w:r>
          </w:p>
        </w:tc>
      </w:tr>
    </w:tbl>
    <w:p>
      <w:pPr>
        <w:pStyle w:val="Heading1"/>
        <w:spacing w:before="240"/>
      </w:pPr>
      <w:r>
        <w:t xml:space="preserve">Worked example</w:t>
      </w:r>
    </w:p>
    <w:p>
      <w:pPr>
        <w:spacing w:after="120"/>
      </w:pPr>
      <w:r>
        <w:rPr>
          <w:b/>
          <w:bCs/>
        </w:rPr>
        <w:t xml:space="preserve">OFFICIAL: Sensitive</w:t>
      </w:r>
    </w:p>
    <w:p>
      <w:pPr>
        <w:spacing w:after="60"/>
      </w:pPr>
      <w:r>
        <w:rPr>
          <w:b/>
          <w:bCs/>
        </w:rPr>
        <w:t xml:space="preserve">SUBJECT: </w:t>
      </w:r>
      <w:r>
        <w:t xml:space="preserve">Healthcare workforce shortage — background for AMA meeting</w:t>
      </w:r>
    </w:p>
    <w:p>
      <w:pPr>
        <w:spacing w:after="60"/>
      </w:pPr>
      <w:r>
        <w:rPr>
          <w:b/>
          <w:bCs/>
        </w:rPr>
        <w:t xml:space="preserve">PURPOSE: </w:t>
      </w:r>
      <w:r>
        <w:t xml:space="preserve">To inform the Minister of current healthcare workforce conditions ahead of the meeting with the Australian Medical Association.</w:t>
      </w:r>
    </w:p>
    <w:p>
      <w:pPr>
        <w:spacing w:before="80"/>
      </w:pPr>
      <w:r>
        <w:rPr>
          <w:b/>
          <w:bCs/>
        </w:rPr>
        <w:t xml:space="preserve">KEY POINTS:</w:t>
      </w:r>
    </w:p>
    <w:p>
      <w:pPr>
        <w:pStyle w:val="ListParagraph"/>
        <w:numPr>
          <w:ilvl w:val="0"/>
          <w:numId w:val="3"/>
        </w:numPr>
        <w:spacing w:after="20"/>
      </w:pPr>
      <w:r>
        <w:t xml:space="preserve">48% of healthcare occupations are in national shortage (JSA Occupation Shortage List 2025, April 2026).</w:t>
      </w:r>
    </w:p>
    <w:p>
      <w:pPr>
        <w:pStyle w:val="ListParagraph"/>
        <w:numPr>
          <w:ilvl w:val="0"/>
          <w:numId w:val="3"/>
        </w:numPr>
        <w:spacing w:after="20"/>
      </w:pPr>
      <w:r>
        <w:t xml:space="preserve">Registered Nurses most acute: 312,400 employed, down 1,200 on the month (JSA Occupation Shortage List 2025, April 2026).</w:t>
      </w:r>
    </w:p>
    <w:p>
      <w:pPr>
        <w:pStyle w:val="ListParagraph"/>
        <w:numPr>
          <w:ilvl w:val="0"/>
          <w:numId w:val="3"/>
        </w:numPr>
        <w:spacing w:after="20"/>
      </w:pPr>
      <w:r>
        <w:t xml:space="preserve">Retention gap is the primary driver — workers leaving faster than training pipelines can replace.</w:t>
      </w:r>
    </w:p>
    <w:p>
      <w:pPr>
        <w:pStyle w:val="ListParagraph"/>
        <w:numPr>
          <w:ilvl w:val="0"/>
          <w:numId w:val="3"/>
        </w:numPr>
        <w:spacing w:after="20"/>
      </w:pPr>
      <w:r>
        <w:t xml:space="preserve">Regional fill rates (62.9%) lag metro (69.7%).</w:t>
      </w:r>
    </w:p>
    <w:p>
      <w:pPr>
        <w:spacing w:after="60"/>
      </w:pPr>
      <w:r>
        <w:rPr>
          <w:b/>
          <w:bCs/>
        </w:rPr>
        <w:t xml:space="preserve">BACKGROUND: </w:t>
      </w:r>
      <w:r>
        <w:t xml:space="preserve">Concise context of 300 words or fewer.</w:t>
      </w:r>
    </w:p>
    <w:p>
      <w:pPr>
        <w:spacing w:after="60"/>
      </w:pPr>
      <w:r>
        <w:rPr>
          <w:b/>
          <w:bCs/>
        </w:rPr>
        <w:t xml:space="preserve">FINANCIAL IMPLICATIONS: </w:t>
      </w:r>
      <w:r>
        <w:t xml:space="preserve">No direct financial implications.</w:t>
      </w:r>
    </w:p>
    <w:p>
      <w:pPr>
        <w:spacing w:before="80"/>
      </w:pPr>
      <w:r>
        <w:rPr>
          <w:b/>
          <w:bCs/>
        </w:rPr>
        <w:t xml:space="preserve">SUGGESTED TALKING POINTS:</w:t>
      </w:r>
    </w:p>
    <w:p>
      <w:pPr>
        <w:pStyle w:val="ListParagraph"/>
        <w:numPr>
          <w:ilvl w:val="0"/>
          <w:numId w:val="3"/>
        </w:numPr>
        <w:spacing w:after="20"/>
      </w:pPr>
      <w:r>
        <w:t xml:space="preserve">The Government recognises healthcare workforce pressures, with 48% of occupations in national shortage (JSA Occupation Shortage List 2025, April 2026).</w:t>
      </w:r>
    </w:p>
    <w:p>
      <w:pPr>
        <w:pStyle w:val="ListParagraph"/>
        <w:numPr>
          <w:ilvl w:val="0"/>
          <w:numId w:val="3"/>
        </w:numPr>
        <w:spacing w:after="20"/>
      </w:pPr>
      <w:r>
        <w:t xml:space="preserve">Retention — not only training — is central; it is the primary driver of these shortages.</w:t>
      </w:r>
    </w:p>
    <w:p>
      <w:pPr>
        <w:pStyle w:val="ListParagraph"/>
        <w:numPr>
          <w:ilvl w:val="0"/>
          <w:numId w:val="3"/>
        </w:numPr>
        <w:spacing w:after="20"/>
      </w:pPr>
      <w:r>
        <w:t xml:space="preserve">Regional access is a particular focus, with regional fill rates (62.9%) below metro (69.7%).</w:t>
      </w:r>
    </w:p>
    <w:p>
      <w:pPr>
        <w:spacing w:after="60"/>
      </w:pPr>
      <w:r>
        <w:rPr>
          <w:b/>
          <w:bCs/>
        </w:rPr>
        <w:t xml:space="preserve">ACTION: </w:t>
      </w:r>
      <w:r>
        <w:t xml:space="preserve">For Noting</w:t>
      </w:r>
    </w:p>
    <w:p>
      <w:pPr>
        <w:spacing w:after="60"/>
      </w:pPr>
      <w:r>
        <w:rPr>
          <w:b/>
          <w:bCs/>
        </w:rPr>
        <w:t xml:space="preserve">CONTACT OFFICER: </w:t>
      </w:r>
      <w:r>
        <w:t xml:space="preserve">Jane Smith | Director, Labour Market Analysis | 02 6100 0000 | April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74EA6"/>
      <w:sz w:val="28"/>
      <w:szCs w:val="28"/>
    </w:rPr>
  </w:style>
  <w:style w:type="paragraph" w:styleId="Title">
    <w:name w:val="Title"/>
    <w:basedOn w:val="Normal"/>
    <w:next w:val="Normal"/>
    <w:qFormat/>
    <w:pPr>
      <w:spacing w:after="60"/>
      <w:outlineLvl w:val="0"/>
    </w:pPr>
    <w:rPr>
      <w:rFonts w:ascii="Arial" w:cs="Arial" w:eastAsia="Arial" w:hAnsi="Arial"/>
      <w:b/>
      <w:bCs/>
      <w:sz w:val="40"/>
      <w:szCs w:val="4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2026-06-21T13:46:28.429Z</dcterms:created>
  <dcterms:modified xsi:type="dcterms:W3CDTF">2026-06-21T13:46:28.433Z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