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D366B"/>
          <w:sz w:val="44"/>
          <w:szCs w:val="44"/>
        </w:rPr>
        <w:t xml:space="preserve">MedGemma 4B-it on BUS-BRA</w:t>
      </w:r>
    </w:p>
    <w:p>
      <w:pPr>
        <w:spacing w:after="60"/>
      </w:pPr>
      <w:r>
        <w:rPr>
          <w:rFonts w:ascii="Calibri" w:cs="Calibri" w:eastAsia="Calibri" w:hAnsi="Calibri"/>
          <w:color w:val="5A5954"/>
          <w:sz w:val="26"/>
          <w:szCs w:val="26"/>
        </w:rPr>
        <w:t xml:space="preserve">Zero-shot benign vs malignant classification of breast ultrasound images (400 images)</w:t>
      </w:r>
    </w:p>
    <w:p>
      <w:pPr>
        <w:pBdr>
          <w:bottom w:val="single" w:color="C9C8C2" w:sz="6" w:space="8"/>
        </w:pBdr>
        <w:spacing w:after="200"/>
      </w:pPr>
      <w:r>
        <w:rPr>
          <w:rFonts w:ascii="Calibri" w:cs="Calibri" w:eastAsia="Calibri" w:hAnsi="Calibri"/>
          <w:color w:val="5A5954"/>
          <w:sz w:val="18"/>
          <w:szCs w:val="18"/>
        </w:rPr>
        <w:t xml:space="preserve">12 October 2026 · source files: classification_results_medgemma_4b.csv, classification_scores_medgemma_4b.csv · run notebook: BUS_BRA_Final_Gemma_MedGemma.ipynb (bus-bra-final-v2-compact)</w:t>
      </w:r>
    </w:p>
    <w:p>
      <w:pPr>
        <w:pStyle w:val="Heading1"/>
        <w:keepNext/>
        <w:spacing w:after="140" w:before="320"/>
      </w:pPr>
      <w:r>
        <w:rPr>
          <w:rFonts w:ascii="Calibri" w:cs="Calibri" w:eastAsia="Calibri" w:hAnsi="Calibri"/>
          <w:b/>
          <w:bCs/>
          <w:color w:val="0D366B"/>
          <w:sz w:val="30"/>
          <w:szCs w:val="30"/>
        </w:rPr>
        <w:t xml:space="preserve">Summary</w:t>
      </w:r>
    </w:p>
    <w:p>
      <w:pPr>
        <w:spacing w:after="120" w:line="276"/>
      </w:pPr>
      <w:r>
        <w:rPr>
          <w:rFonts w:ascii="Calibri" w:cs="Calibri" w:eastAsia="Calibri" w:hAnsi="Calibri"/>
          <w:color w:val="1A1A1A"/>
          <w:sz w:val="21"/>
          <w:szCs w:val="21"/>
        </w:rPr>
        <w:t xml:space="preserve">MedGemma 4B-it classified </w:t>
      </w:r>
      <w:r>
        <w:rPr>
          <w:rFonts w:ascii="Calibri" w:cs="Calibri" w:eastAsia="Calibri" w:hAnsi="Calibri"/>
          <w:b/>
          <w:bCs/>
          <w:color w:val="1A1A1A"/>
          <w:sz w:val="21"/>
          <w:szCs w:val="21"/>
        </w:rPr>
        <w:t xml:space="preserve">230 of 400 images correctly (57.5%, 95% CI 52.6–62.3%)</w:t>
      </w:r>
      <w:r>
        <w:rPr>
          <w:rFonts w:ascii="Calibri" w:cs="Calibri" w:eastAsia="Calibri" w:hAnsi="Calibri"/>
          <w:color w:val="1A1A1A"/>
          <w:sz w:val="21"/>
          <w:szCs w:val="21"/>
        </w:rPr>
        <w:t xml:space="preserve">. This is the only one of the four models that is above chance on BUS-BRA, and the only one whose answers are clearly informative (one-sided exact binomial p = 0.0016, below the Bonferroni threshold of 0.0125 for four models). The effect is modest: it </w:t>
      </w:r>
      <w:r>
        <w:rPr>
          <w:rFonts w:ascii="Calibri" w:cs="Calibri" w:eastAsia="Calibri" w:hAnsi="Calibri"/>
          <w:b/>
          <w:bCs/>
          <w:color w:val="1A1A1A"/>
          <w:sz w:val="21"/>
          <w:szCs w:val="21"/>
        </w:rPr>
        <w:t xml:space="preserve">leans “benign” (266 of 400 answers) and misses most cancers</w:t>
      </w:r>
      <w:r>
        <w:rPr>
          <w:rFonts w:ascii="Calibri" w:cs="Calibri" w:eastAsia="Calibri" w:hAnsi="Calibri"/>
          <w:color w:val="1A1A1A"/>
          <w:sz w:val="21"/>
          <w:szCs w:val="21"/>
        </w:rPr>
        <w:t xml:space="preserve">.</w:t>
      </w:r>
    </w:p>
    <w:p>
      <w:pPr>
        <w:pStyle w:val="ListParagraph"/>
        <w:numPr>
          <w:ilvl w:val="0"/>
          <w:numId w:val="2"/>
        </w:numPr>
        <w:spacing w:after="70" w:line="270"/>
      </w:pPr>
      <w:r>
        <w:rPr>
          <w:rFonts w:ascii="Calibri" w:cs="Calibri" w:eastAsia="Calibri" w:hAnsi="Calibri"/>
          <w:b/>
          <w:bCs/>
          <w:color w:val="1A1A1A"/>
          <w:sz w:val="21"/>
          <w:szCs w:val="21"/>
        </w:rPr>
        <w:t xml:space="preserve">Sensitivity (malignant found): 82 of 200 (41.0%, CI 34.4–47.9%).</w:t>
      </w:r>
      <w:r>
        <w:rPr>
          <w:rFonts w:ascii="Calibri" w:cs="Calibri" w:eastAsia="Calibri" w:hAnsi="Calibri"/>
          <w:color w:val="1A1A1A"/>
          <w:sz w:val="21"/>
          <w:szCs w:val="21"/>
        </w:rPr>
        <w:t xml:space="preserve"> 118 of 200 cancers were called benign.</w:t>
      </w:r>
    </w:p>
    <w:p>
      <w:pPr>
        <w:pStyle w:val="ListParagraph"/>
        <w:numPr>
          <w:ilvl w:val="0"/>
          <w:numId w:val="2"/>
        </w:numPr>
        <w:spacing w:after="70" w:line="270"/>
      </w:pPr>
      <w:r>
        <w:rPr>
          <w:rFonts w:ascii="Calibri" w:cs="Calibri" w:eastAsia="Calibri" w:hAnsi="Calibri"/>
          <w:b/>
          <w:bCs/>
          <w:color w:val="1A1A1A"/>
          <w:sz w:val="21"/>
          <w:szCs w:val="21"/>
        </w:rPr>
        <w:t xml:space="preserve">Specificity (benign found): 148 of 200 (74.0%, CI 67.5–79.6%).</w:t>
      </w:r>
    </w:p>
    <w:p>
      <w:pPr>
        <w:pStyle w:val="ListParagraph"/>
        <w:numPr>
          <w:ilvl w:val="0"/>
          <w:numId w:val="2"/>
        </w:numPr>
        <w:spacing w:after="70" w:line="270"/>
      </w:pPr>
      <w:r>
        <w:rPr>
          <w:rFonts w:ascii="Calibri" w:cs="Calibri" w:eastAsia="Calibri" w:hAnsi="Calibri"/>
          <w:b/>
          <w:bCs/>
          <w:color w:val="1A1A1A"/>
          <w:sz w:val="21"/>
          <w:szCs w:val="21"/>
        </w:rPr>
        <w:t xml:space="preserve">Answers are informative but weakly:</w:t>
      </w:r>
      <w:r>
        <w:rPr>
          <w:rFonts w:ascii="Calibri" w:cs="Calibri" w:eastAsia="Calibri" w:hAnsi="Calibri"/>
          <w:color w:val="1A1A1A"/>
          <w:sz w:val="21"/>
          <w:szCs w:val="21"/>
        </w:rPr>
        <w:t xml:space="preserve"> of 134 “malignant” answers 82 were right (precision 61.2%, CI 52.7–69.0%); of 266 “benign” answers 148 were right (55.6%, CI 49.6–61.5%). Odds ratio 1.98, Fisher exact p = 0.002. MCC 0.159, balanced accuracy 57.5%.</w:t>
      </w:r>
    </w:p>
    <w:p>
      <w:pPr>
        <w:pStyle w:val="ListParagraph"/>
        <w:numPr>
          <w:ilvl w:val="0"/>
          <w:numId w:val="2"/>
        </w:numPr>
        <w:spacing w:after="70" w:line="270"/>
      </w:pPr>
      <w:r>
        <w:rPr>
          <w:rFonts w:ascii="Calibri" w:cs="Calibri" w:eastAsia="Calibri" w:hAnsi="Calibri"/>
          <w:b/>
          <w:bCs/>
          <w:color w:val="1A1A1A"/>
          <w:sz w:val="21"/>
          <w:szCs w:val="21"/>
        </w:rPr>
        <w:t xml:space="preserve">Not a parsing artefact:</w:t>
      </w:r>
      <w:r>
        <w:rPr>
          <w:rFonts w:ascii="Calibri" w:cs="Calibri" w:eastAsia="Calibri" w:hAnsi="Calibri"/>
          <w:color w:val="1A1A1A"/>
          <w:sz w:val="21"/>
          <w:szCs w:val="21"/>
        </w:rPr>
        <w:t xml:space="preserve"> every raw output is the single word “benign” (266) or “malignant” (134) followed by Gemma’s end-of-turn marker; no row is </w:t>
      </w:r>
      <w:r>
        <w:rPr>
          <w:rFonts w:ascii="Consolas" w:cs="Consolas" w:eastAsia="Consolas" w:hAnsi="Consolas"/>
          <w:color w:val="1A1A1A"/>
          <w:sz w:val="19"/>
          <w:szCs w:val="19"/>
        </w:rPr>
        <w:t xml:space="preserve">unparsed</w:t>
      </w:r>
      <w:r>
        <w:rPr>
          <w:rFonts w:ascii="Calibri" w:cs="Calibri" w:eastAsia="Calibri" w:hAnsi="Calibri"/>
          <w:color w:val="1A1A1A"/>
          <w:sz w:val="21"/>
          <w:szCs w:val="21"/>
        </w:rPr>
        <w:t xml:space="preserve">.</w:t>
      </w:r>
    </w:p>
    <w:p>
      <w:pPr>
        <w:pStyle w:val="ListParagraph"/>
        <w:numPr>
          <w:ilvl w:val="0"/>
          <w:numId w:val="2"/>
        </w:numPr>
        <w:spacing w:after="70" w:line="270"/>
      </w:pPr>
      <w:r>
        <w:rPr>
          <w:rFonts w:ascii="Calibri" w:cs="Calibri" w:eastAsia="Calibri" w:hAnsi="Calibri"/>
          <w:b/>
          <w:bCs/>
          <w:color w:val="1A1A1A"/>
          <w:sz w:val="21"/>
          <w:szCs w:val="21"/>
        </w:rPr>
        <w:t xml:space="preserve">By image-ID suffix</w:t>
      </w:r>
      <w:r>
        <w:rPr>
          <w:rFonts w:ascii="Calibri" w:cs="Calibri" w:eastAsia="Calibri" w:hAnsi="Calibri"/>
          <w:color w:val="1A1A1A"/>
          <w:sz w:val="21"/>
          <w:szCs w:val="21"/>
        </w:rPr>
        <w:t xml:space="preserve"> (-l, -r, -s): accuracy 58%, 54% and 63%, not significantly different (chi-square p = 0.39). The share of “malignant” answers does differ: 45%, 28% and 22% (p = 0.0003).</w:t>
      </w:r>
    </w:p>
    <w:p>
      <w:pPr>
        <w:pStyle w:val="ListParagraph"/>
        <w:numPr>
          <w:ilvl w:val="0"/>
          <w:numId w:val="2"/>
        </w:numPr>
        <w:spacing w:after="70" w:line="270"/>
      </w:pPr>
      <w:r>
        <w:rPr>
          <w:rFonts w:ascii="Calibri" w:cs="Calibri" w:eastAsia="Calibri" w:hAnsi="Calibri"/>
          <w:b/>
          <w:bCs/>
          <w:color w:val="1A1A1A"/>
          <w:sz w:val="21"/>
          <w:szCs w:val="21"/>
        </w:rPr>
        <w:t xml:space="preserve">Versus the other models:</w:t>
      </w:r>
      <w:r>
        <w:rPr>
          <w:rFonts w:ascii="Calibri" w:cs="Calibri" w:eastAsia="Calibri" w:hAnsi="Calibri"/>
          <w:color w:val="1A1A1A"/>
          <w:sz w:val="21"/>
          <w:szCs w:val="21"/>
        </w:rPr>
        <w:t xml:space="preserve"> Qwen2-VL-2B and MedVLM-R1 answered “benign” for everything (50.0%); Gemma 3 4B-it answered “malignant” for 97.75% (50.25%). MedGemma is ahead of both, but the paired difference to Gemma 3 is not significant (McNemar p = 0.08).</w:t>
      </w:r>
    </w:p>
    <w:p>
      <w:pPr>
        <w:spacing w:after="80" w:line="276"/>
      </w:pPr>
      <w:r>
        <w:rPr>
          <w:rFonts w:ascii="Calibri" w:cs="Calibri" w:eastAsia="Calibri" w:hAnsi="Calibri"/>
          <w:color w:val="1A1A1A"/>
          <w:sz w:val="21"/>
          <w:szCs w:val="21"/>
        </w:rPr>
        <w:t xml:space="preserve">Net: a small, real signal that is far from clinical usefulness (about 59% of cancers are missed at this operating point). It describes this model, prompt and setting only.</w:t>
      </w:r>
    </w:p>
    <w:p>
      <w:pPr>
        <w:pStyle w:val="Heading1"/>
        <w:keepNext/>
        <w:spacing w:after="140" w:before="320"/>
      </w:pPr>
      <w:r>
        <w:rPr>
          <w:rFonts w:ascii="Calibri" w:cs="Calibri" w:eastAsia="Calibri" w:hAnsi="Calibri"/>
          <w:b/>
          <w:bCs/>
          <w:color w:val="0D366B"/>
          <w:sz w:val="30"/>
          <w:szCs w:val="30"/>
        </w:rPr>
        <w:t xml:space="preserve">1. Experimental setup</w:t>
      </w:r>
    </w:p>
    <w:p>
      <w:pPr>
        <w:keepNext/>
        <w:spacing w:after="80" w:before="160"/>
      </w:pPr>
      <w:r>
        <w:rPr>
          <w:rFonts w:ascii="Calibri" w:cs="Calibri" w:eastAsia="Calibri" w:hAnsi="Calibri"/>
          <w:b/>
          <w:bCs/>
          <w:color w:val="1A1A1A"/>
          <w:sz w:val="19"/>
          <w:szCs w:val="19"/>
        </w:rPr>
        <w:t xml:space="preserve">Table 1. Settings (from the run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r>
              <w:rPr>
                <w:rFonts w:ascii="Calibri" w:cs="Calibri" w:eastAsia="Calibri" w:hAnsi="Calibri"/>
                <w:b/>
                <w:bCs/>
                <w:color w:val="1A1A1A"/>
                <w:sz w:val="19"/>
                <w:szCs w:val="19"/>
              </w:rPr>
              <w:t xml:space="preserve">Item</w:t>
            </w:r>
          </w:p>
        </w:tc>
        <w:tc>
          <w:tcPr>
            <w:tcW w:type="dxa" w:w="716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r>
              <w:rPr>
                <w:rFonts w:ascii="Calibri" w:cs="Calibri" w:eastAsia="Calibri" w:hAnsi="Calibri"/>
                <w:b/>
                <w:bCs/>
                <w:color w:val="1A1A1A"/>
                <w:sz w:val="19"/>
                <w:szCs w:val="19"/>
              </w:rPr>
              <w:t xml:space="preserve">Setting</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Model</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google/medgemma-4b-it, revision </w:t>
            </w:r>
            <w:r>
              <w:rPr>
                <w:rFonts w:ascii="Consolas" w:cs="Consolas" w:eastAsia="Consolas" w:hAnsi="Consolas"/>
                <w:color w:val="1A1A1A"/>
                <w:sz w:val="17"/>
                <w:szCs w:val="17"/>
              </w:rPr>
              <w:t xml:space="preserve">290cda5e…</w:t>
            </w:r>
            <w:r>
              <w:rPr>
                <w:rFonts w:ascii="Calibri" w:cs="Calibri" w:eastAsia="Calibri" w:hAnsi="Calibri"/>
                <w:color w:val="1A1A1A"/>
                <w:sz w:val="19"/>
                <w:szCs w:val="19"/>
              </w:rPr>
              <w:t xml:space="preserve">, zero-shot (no further fine-tuning, no in-context examples). Loaded with </w:t>
            </w:r>
            <w:r>
              <w:rPr>
                <w:rFonts w:ascii="Consolas" w:cs="Consolas" w:eastAsia="Consolas" w:hAnsi="Consolas"/>
                <w:color w:val="1A1A1A"/>
                <w:sz w:val="17"/>
                <w:szCs w:val="17"/>
              </w:rPr>
              <w:t xml:space="preserve">Gemma3ForConditionalGeneration</w:t>
            </w:r>
            <w:r>
              <w:rPr>
                <w:rFonts w:ascii="Calibri" w:cs="Calibri" w:eastAsia="Calibri" w:hAnsi="Calibri"/>
                <w:color w:val="1A1A1A"/>
                <w:sz w:val="19"/>
                <w:szCs w:val="19"/>
              </w:rPr>
              <w:t xml:space="preserve">.</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Dataset</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BUS-BRA, breast ultrasound images with benign / malignant labels (1,875 images in the metadata file)</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Sample</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400 frozen images: 200 benign + 200 malignant, one image per source Case (400 distinct Cases). Selection used seed 42; the 20 pilot Cases and 13 previously flagged Cases are excluded. Patient identity is not independently verified. The sample is protected by a SHA-256 manifest check.</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Image IDs</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onsolas" w:cs="Consolas" w:eastAsia="Consolas" w:hAnsi="Consolas"/>
                <w:color w:val="1A1A1A"/>
                <w:sz w:val="17"/>
                <w:szCs w:val="17"/>
              </w:rPr>
              <w:t xml:space="preserve">bus_XXXX-l</w:t>
            </w:r>
            <w:r>
              <w:rPr>
                <w:rFonts w:ascii="Calibri" w:cs="Calibri" w:eastAsia="Calibri" w:hAnsi="Calibri"/>
                <w:color w:val="1A1A1A"/>
                <w:sz w:val="19"/>
                <w:szCs w:val="19"/>
              </w:rPr>
              <w:t xml:space="preserve">, </w:t>
            </w:r>
            <w:r>
              <w:rPr>
                <w:rFonts w:ascii="Consolas" w:cs="Consolas" w:eastAsia="Consolas" w:hAnsi="Consolas"/>
                <w:color w:val="1A1A1A"/>
                <w:sz w:val="17"/>
                <w:szCs w:val="17"/>
              </w:rPr>
              <w:t xml:space="preserve">-r</w:t>
            </w:r>
            <w:r>
              <w:rPr>
                <w:rFonts w:ascii="Calibri" w:cs="Calibri" w:eastAsia="Calibri" w:hAnsi="Calibri"/>
                <w:color w:val="1A1A1A"/>
                <w:sz w:val="19"/>
                <w:szCs w:val="19"/>
              </w:rPr>
              <w:t xml:space="preserve"> or </w:t>
            </w:r>
            <w:r>
              <w:rPr>
                <w:rFonts w:ascii="Consolas" w:cs="Consolas" w:eastAsia="Consolas" w:hAnsi="Consolas"/>
                <w:color w:val="1A1A1A"/>
                <w:sz w:val="17"/>
                <w:szCs w:val="17"/>
              </w:rPr>
              <w:t xml:space="preserve">-s</w:t>
            </w:r>
            <w:r>
              <w:rPr>
                <w:rFonts w:ascii="Calibri" w:cs="Calibri" w:eastAsia="Calibri" w:hAnsi="Calibri"/>
                <w:color w:val="1A1A1A"/>
                <w:sz w:val="19"/>
                <w:szCs w:val="19"/>
              </w:rPr>
              <w:t xml:space="preserve"> (166, 151 and 83 images)</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Task</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Single-label classification: benign or malignant</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Input</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Only the original image and the fixed prompt; no labels or metadata reach the model</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Prompt</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“You are a medical assistant. Examine this breast ultrasound image. Classify the lesion as exactly ONE of the following: - benign: non-cancerous lesion - malignant: cancerous lesion. Respond with ONLY the label: benign or malignant.”</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Decoding</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Greedy (</w:t>
            </w:r>
            <w:r>
              <w:rPr>
                <w:rFonts w:ascii="Consolas" w:cs="Consolas" w:eastAsia="Consolas" w:hAnsi="Consolas"/>
                <w:color w:val="1A1A1A"/>
                <w:sz w:val="17"/>
                <w:szCs w:val="17"/>
              </w:rPr>
              <w:t xml:space="preserve">do_sample=False</w:t>
            </w:r>
            <w:r>
              <w:rPr>
                <w:rFonts w:ascii="Calibri" w:cs="Calibri" w:eastAsia="Calibri" w:hAnsi="Calibri"/>
                <w:color w:val="1A1A1A"/>
                <w:sz w:val="19"/>
                <w:szCs w:val="19"/>
              </w:rPr>
              <w:t xml:space="preserve">, one beam), at most 32 new tokens, batch size 1, explicit generation settings checked at load time</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Precision / hardware</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bf16 weights, SDPA attention, </w:t>
            </w:r>
            <w:r>
              <w:rPr>
                <w:rFonts w:ascii="Consolas" w:cs="Consolas" w:eastAsia="Consolas" w:hAnsi="Consolas"/>
                <w:color w:val="1A1A1A"/>
                <w:sz w:val="17"/>
                <w:szCs w:val="17"/>
              </w:rPr>
              <w:t xml:space="preserve">device_map="auto"</w:t>
            </w:r>
            <w:r>
              <w:rPr>
                <w:rFonts w:ascii="Calibri" w:cs="Calibri" w:eastAsia="Calibri" w:hAnsi="Calibri"/>
                <w:color w:val="1A1A1A"/>
                <w:sz w:val="19"/>
                <w:szCs w:val="19"/>
              </w:rPr>
              <w:t xml:space="preserve">, no CPU or disk offloading. Run on Kaggle T4 x2, where bf16 is emulated (not native). The exact GPU used is not stored in the output files.</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Answer parsing</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Strict: the answer text (with the final end-of-turn token removed) must be exactly </w:t>
            </w:r>
            <w:r>
              <w:rPr>
                <w:rFonts w:ascii="Consolas" w:cs="Consolas" w:eastAsia="Consolas" w:hAnsi="Consolas"/>
                <w:color w:val="1A1A1A"/>
                <w:sz w:val="17"/>
                <w:szCs w:val="17"/>
              </w:rPr>
              <w:t xml:space="preserve">benign</w:t>
            </w:r>
            <w:r>
              <w:rPr>
                <w:rFonts w:ascii="Calibri" w:cs="Calibri" w:eastAsia="Calibri" w:hAnsi="Calibri"/>
                <w:color w:val="1A1A1A"/>
                <w:sz w:val="19"/>
                <w:szCs w:val="19"/>
              </w:rPr>
              <w:t xml:space="preserve"> or </w:t>
            </w:r>
            <w:r>
              <w:rPr>
                <w:rFonts w:ascii="Consolas" w:cs="Consolas" w:eastAsia="Consolas" w:hAnsi="Consolas"/>
                <w:color w:val="1A1A1A"/>
                <w:sz w:val="17"/>
                <w:szCs w:val="17"/>
              </w:rPr>
              <w:t xml:space="preserve">malignant</w:t>
            </w:r>
            <w:r>
              <w:rPr>
                <w:rFonts w:ascii="Calibri" w:cs="Calibri" w:eastAsia="Calibri" w:hAnsi="Calibri"/>
                <w:color w:val="1A1A1A"/>
                <w:sz w:val="19"/>
                <w:szCs w:val="19"/>
              </w:rPr>
              <w:t xml:space="preserve"> (optionally after </w:t>
            </w:r>
            <w:r>
              <w:rPr>
                <w:rFonts w:ascii="Consolas" w:cs="Consolas" w:eastAsia="Consolas" w:hAnsi="Consolas"/>
                <w:color w:val="1A1A1A"/>
                <w:sz w:val="17"/>
                <w:szCs w:val="17"/>
              </w:rPr>
              <w:t xml:space="preserve">Final answer:</w:t>
            </w:r>
            <w:r>
              <w:rPr>
                <w:rFonts w:ascii="Calibri" w:cs="Calibri" w:eastAsia="Calibri" w:hAnsi="Calibri"/>
                <w:color w:val="1A1A1A"/>
                <w:sz w:val="19"/>
                <w:szCs w:val="19"/>
              </w:rPr>
              <w:t xml:space="preserve">, inside </w:t>
            </w:r>
            <w:r>
              <w:rPr>
                <w:rFonts w:ascii="Consolas" w:cs="Consolas" w:eastAsia="Consolas" w:hAnsi="Consolas"/>
                <w:color w:val="1A1A1A"/>
                <w:sz w:val="17"/>
                <w:szCs w:val="17"/>
              </w:rPr>
              <w:t xml:space="preserve">&lt;answer&gt;…&lt;/answer&gt;</w:t>
            </w:r>
            <w:r>
              <w:rPr>
                <w:rFonts w:ascii="Calibri" w:cs="Calibri" w:eastAsia="Calibri" w:hAnsi="Calibri"/>
                <w:color w:val="1A1A1A"/>
                <w:sz w:val="19"/>
                <w:szCs w:val="19"/>
              </w:rPr>
              <w:t xml:space="preserve">, or after one </w:t>
            </w:r>
            <w:r>
              <w:rPr>
                <w:rFonts w:ascii="Consolas" w:cs="Consolas" w:eastAsia="Consolas" w:hAnsi="Consolas"/>
                <w:color w:val="1A1A1A"/>
                <w:sz w:val="17"/>
                <w:szCs w:val="17"/>
              </w:rPr>
              <w:t xml:space="preserve">&lt;think&gt;…&lt;/think&gt;</w:t>
            </w:r>
            <w:r>
              <w:rPr>
                <w:rFonts w:ascii="Calibri" w:cs="Calibri" w:eastAsia="Calibri" w:hAnsi="Calibri"/>
                <w:color w:val="1A1A1A"/>
                <w:sz w:val="19"/>
                <w:szCs w:val="19"/>
              </w:rPr>
              <w:t xml:space="preserve"> block). Anything else is </w:t>
            </w:r>
            <w:r>
              <w:rPr>
                <w:rFonts w:ascii="Consolas" w:cs="Consolas" w:eastAsia="Consolas" w:hAnsi="Consolas"/>
                <w:color w:val="1A1A1A"/>
                <w:sz w:val="17"/>
                <w:szCs w:val="17"/>
              </w:rPr>
              <w:t xml:space="preserve">unparsed</w:t>
            </w:r>
            <w:r>
              <w:rPr>
                <w:rFonts w:ascii="Calibri" w:cs="Calibri" w:eastAsia="Calibri" w:hAnsi="Calibri"/>
                <w:color w:val="1A1A1A"/>
                <w:sz w:val="19"/>
                <w:szCs w:val="19"/>
              </w:rPr>
              <w:t xml:space="preserve"> and counts as wrong. A guard also marks a result </w:t>
            </w:r>
            <w:r>
              <w:rPr>
                <w:rFonts w:ascii="Consolas" w:cs="Consolas" w:eastAsia="Consolas" w:hAnsi="Consolas"/>
                <w:color w:val="1A1A1A"/>
                <w:sz w:val="17"/>
                <w:szCs w:val="17"/>
              </w:rPr>
              <w:t xml:space="preserve">unparsed</w:t>
            </w:r>
            <w:r>
              <w:rPr>
                <w:rFonts w:ascii="Calibri" w:cs="Calibri" w:eastAsia="Calibri" w:hAnsi="Calibri"/>
                <w:color w:val="1A1A1A"/>
                <w:sz w:val="19"/>
                <w:szCs w:val="19"/>
              </w:rPr>
              <w:t xml:space="preserve"> if the model produced invalid scores (NaN or infinity).</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r>
              <w:rPr>
                <w:rFonts w:ascii="Calibri" w:cs="Calibri" w:eastAsia="Calibri" w:hAnsi="Calibri"/>
                <w:color w:val="1A1A1A"/>
                <w:sz w:val="19"/>
                <w:szCs w:val="19"/>
              </w:rPr>
              <w:t xml:space="preserve">Scoring</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r>
              <w:rPr>
                <w:rFonts w:ascii="Calibri" w:cs="Calibri" w:eastAsia="Calibri" w:hAnsi="Calibri"/>
                <w:color w:val="1A1A1A"/>
                <w:sz w:val="19"/>
                <w:szCs w:val="19"/>
              </w:rPr>
              <w:t xml:space="preserve">Exact match with the reference label. 95% Wilson intervals; one-sided exact binomial test against 50%.</w:t>
            </w:r>
          </w:p>
        </w:tc>
      </w:tr>
    </w:tbl>
    <w:p>
      <w:pPr>
        <w:spacing w:after="100"/>
      </w:pPr>
    </w:p>
    <w:p>
      <w:pPr>
        <w:spacing w:after="60" w:line="276"/>
      </w:pPr>
      <w:r>
        <w:rPr>
          <w:rFonts w:ascii="Calibri" w:cs="Calibri" w:eastAsia="Calibri" w:hAnsi="Calibri"/>
          <w:color w:val="1A1A1A"/>
          <w:sz w:val="19"/>
          <w:szCs w:val="19"/>
        </w:rPr>
        <w:t xml:space="preserve">Checks: the 400 image IDs in the results file are identical, and in the same order, to the frozen ID list in the notebook and to those in the other three models’ results files; the question column equals the notebook prompt; the scores file reports </w:t>
      </w:r>
      <w:r>
        <w:rPr>
          <w:rFonts w:ascii="Consolas" w:cs="Consolas" w:eastAsia="Consolas" w:hAnsi="Consolas"/>
          <w:color w:val="1A1A1A"/>
          <w:sz w:val="17"/>
          <w:szCs w:val="17"/>
        </w:rPr>
        <w:t xml:space="preserve">lesion_classification</w:t>
      </w:r>
      <w:r>
        <w:rPr>
          <w:rFonts w:ascii="Calibri" w:cs="Calibri" w:eastAsia="Calibri" w:hAnsi="Calibri"/>
          <w:color w:val="1A1A1A"/>
          <w:sz w:val="19"/>
          <w:szCs w:val="19"/>
        </w:rPr>
        <w:t xml:space="preserve"> with 230 correct out of 400 (0.575), matching the per-row results. The notebook as supplied has no saved cell outputs, so no execution log (token counts, stop reasons, GPU) was available. Minor: in the notebook’s </w:t>
      </w:r>
      <w:r>
        <w:rPr>
          <w:rFonts w:ascii="Consolas" w:cs="Consolas" w:eastAsia="Consolas" w:hAnsi="Consolas"/>
          <w:color w:val="1A1A1A"/>
          <w:sz w:val="17"/>
          <w:szCs w:val="17"/>
        </w:rPr>
        <w:t xml:space="preserve">save_results</w:t>
      </w:r>
      <w:r>
        <w:rPr>
          <w:rFonts w:ascii="Calibri" w:cs="Calibri" w:eastAsia="Calibri" w:hAnsi="Calibri"/>
          <w:color w:val="1A1A1A"/>
          <w:sz w:val="19"/>
          <w:szCs w:val="19"/>
        </w:rPr>
        <w:t xml:space="preserve">, the results file is written as </w:t>
      </w:r>
      <w:r>
        <w:rPr>
          <w:rFonts w:ascii="Consolas" w:cs="Consolas" w:eastAsia="Consolas" w:hAnsi="Consolas"/>
          <w:color w:val="1A1A1A"/>
          <w:sz w:val="17"/>
          <w:szCs w:val="17"/>
        </w:rPr>
        <w:t xml:space="preserve">_results_{tag}.csv</w:t>
      </w:r>
      <w:r>
        <w:rPr>
          <w:rFonts w:ascii="Calibri" w:cs="Calibri" w:eastAsia="Calibri" w:hAnsi="Calibri"/>
          <w:color w:val="1A1A1A"/>
          <w:sz w:val="19"/>
          <w:szCs w:val="19"/>
        </w:rPr>
        <w:t xml:space="preserve">, while the download cell lists </w:t>
      </w:r>
      <w:r>
        <w:rPr>
          <w:rFonts w:ascii="Consolas" w:cs="Consolas" w:eastAsia="Consolas" w:hAnsi="Consolas"/>
          <w:color w:val="1A1A1A"/>
          <w:sz w:val="17"/>
          <w:szCs w:val="17"/>
        </w:rPr>
        <w:t xml:space="preserve">classification_results_{tag}.csv</w:t>
      </w:r>
      <w:r>
        <w:rPr>
          <w:rFonts w:ascii="Calibri" w:cs="Calibri" w:eastAsia="Calibri" w:hAnsi="Calibri"/>
          <w:color w:val="1A1A1A"/>
          <w:sz w:val="19"/>
          <w:szCs w:val="19"/>
        </w:rPr>
        <w:t xml:space="preserve">; the file supplied has the latter name, so it was renamed or the notebook was edited. The raw output keeps Gemma’s </w:t>
      </w:r>
      <w:r>
        <w:rPr>
          <w:rFonts w:ascii="Consolas" w:cs="Consolas" w:eastAsia="Consolas" w:hAnsi="Consolas"/>
          <w:color w:val="1A1A1A"/>
          <w:sz w:val="17"/>
          <w:szCs w:val="17"/>
        </w:rPr>
        <w:t xml:space="preserve">&lt;end_of_turn&gt;</w:t>
      </w:r>
      <w:r>
        <w:rPr>
          <w:rFonts w:ascii="Calibri" w:cs="Calibri" w:eastAsia="Calibri" w:hAnsi="Calibri"/>
          <w:color w:val="1A1A1A"/>
          <w:sz w:val="19"/>
          <w:szCs w:val="19"/>
        </w:rPr>
        <w:t xml:space="preserve"> marker (preceded by a newline), which is removed before parsing.</w:t>
      </w:r>
    </w:p>
    <w:p>
      <w:pPr>
        <w:pStyle w:val="Heading1"/>
        <w:keepNext/>
        <w:spacing w:after="140" w:before="320"/>
      </w:pPr>
      <w:r>
        <w:rPr>
          <w:rFonts w:ascii="Calibri" w:cs="Calibri" w:eastAsia="Calibri" w:hAnsi="Calibri"/>
          <w:b/>
          <w:bCs/>
          <w:color w:val="0D366B"/>
          <w:sz w:val="30"/>
          <w:szCs w:val="30"/>
        </w:rPr>
        <w:t xml:space="preserve">2. Results</w:t>
      </w:r>
    </w:p>
    <w:p>
      <w:pPr>
        <w:keepNext/>
        <w:spacing w:after="80" w:before="160"/>
      </w:pPr>
      <w:r>
        <w:rPr>
          <w:rFonts w:ascii="Calibri" w:cs="Calibri" w:eastAsia="Calibri" w:hAnsi="Calibri"/>
          <w:b/>
          <w:bCs/>
          <w:color w:val="1A1A1A"/>
          <w:sz w:val="19"/>
          <w:szCs w:val="19"/>
        </w:rPr>
        <w:t xml:space="preserve">Table 2. Summary metrics (positive class = malignant)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cantSplit/>
          <w:tblHeader/>
        </w:trPr>
        <w:tc>
          <w:tcPr>
            <w:tcW w:type="dxa" w:w="42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r>
              <w:rPr>
                <w:rFonts w:ascii="Calibri" w:cs="Calibri" w:eastAsia="Calibri" w:hAnsi="Calibri"/>
                <w:b/>
                <w:bCs/>
                <w:color w:val="1A1A1A"/>
                <w:sz w:val="19"/>
                <w:szCs w:val="19"/>
              </w:rPr>
              <w:t xml:space="preserve">Metric</w:t>
            </w:r>
          </w:p>
        </w:tc>
        <w:tc>
          <w:tcPr>
            <w:tcW w:type="dxa" w:w="24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right"/>
            </w:pPr>
            <w:r>
              <w:rPr>
                <w:rFonts w:ascii="Calibri" w:cs="Calibri" w:eastAsia="Calibri" w:hAnsi="Calibri"/>
                <w:b/>
                <w:bCs/>
                <w:color w:val="1A1A1A"/>
                <w:sz w:val="19"/>
                <w:szCs w:val="19"/>
              </w:rPr>
              <w:t xml:space="preserve">Value</w:t>
            </w:r>
          </w:p>
        </w:tc>
        <w:tc>
          <w:tcPr>
            <w:tcW w:type="dxa" w:w="276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r>
              <w:rPr>
                <w:rFonts w:ascii="Calibri" w:cs="Calibri" w:eastAsia="Calibri" w:hAnsi="Calibri"/>
                <w:b/>
                <w:bCs/>
                <w:color w:val="1A1A1A"/>
                <w:sz w:val="19"/>
                <w:szCs w:val="19"/>
              </w:rPr>
              <w:t xml:space="preserve">Note</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Accuracy</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57.5% (230 / 400)</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95% CI 52.6–62.3%</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p-value vs 50% chance (one-sided)</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0.0016</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two-sided 0.0031</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Sensitivity (recall of malignant)</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41.0% (82 / 200)</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95% CI 34.4–47.9%</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Specificity (recall of benign)</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74.0% (148 / 200)</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95% CI 67.5–79.6%</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Balanced accuracy</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57.5%</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equals accuracy: balanced sample</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Precision of “malignant”</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61.2% (82 / 134)</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95% CI 52.7–69.0%</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Negative predictive value</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55.6% (148 / 266)</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95% CI 49.6–61.5%</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F1 for malignant</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0.49</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Matthews correlation coefficient</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0.159</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weak association with the labels</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Share of answers that are “malignant”</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33.5% (134 / 400)</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vs 50% true</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r>
              <w:rPr>
                <w:rFonts w:ascii="Calibri" w:cs="Calibri" w:eastAsia="Calibri" w:hAnsi="Calibri"/>
                <w:color w:val="1A1A1A"/>
                <w:sz w:val="19"/>
                <w:szCs w:val="19"/>
              </w:rPr>
              <w:t xml:space="preserve">Unparsed answers</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right"/>
            </w:pPr>
            <w:r>
              <w:rPr>
                <w:rFonts w:ascii="Calibri" w:cs="Calibri" w:eastAsia="Calibri" w:hAnsi="Calibri"/>
                <w:color w:val="1A1A1A"/>
                <w:sz w:val="19"/>
                <w:szCs w:val="19"/>
              </w:rPr>
              <w:t xml:space="preserve">0</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p>
        </w:tc>
      </w:tr>
    </w:tbl>
    <w:p>
      <w:pPr>
        <w:keepNext/>
        <w:spacing w:after="40" w:before="120"/>
        <w:jc w:val="center"/>
      </w:pPr>
      <w:r>
        <w:drawing>
          <wp:inline distT="0" distB="0" distL="0" distR="0">
            <wp:extent cx="4762500" cy="2152650"/>
            <wp:effectExtent t="0" r="0" b="0" l="0"/>
            <wp:docPr id="1" name="fig1_accuracy_and_recall.png" descr="Figure 1. Accuracy and per-class recall with 95% Wilson intervals. The dashed line is chance." title="Figure 1. Accuracy and per-class recall with 95% Wilson intervals. The dashed line is ch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152650"/>
                    </a:xfrm>
                    <a:prstGeom prst="rect">
                      <a:avLst/>
                    </a:prstGeom>
                  </pic:spPr>
                </pic:pic>
              </a:graphicData>
            </a:graphic>
          </wp:inline>
        </w:drawing>
      </w:r>
    </w:p>
    <w:p>
      <w:pPr>
        <w:spacing w:after="200" w:before="60"/>
      </w:pPr>
      <w:r>
        <w:rPr>
          <w:rFonts w:ascii="Calibri" w:cs="Calibri" w:eastAsia="Calibri" w:hAnsi="Calibri"/>
          <w:i w:val="false"/>
          <w:iCs w:val="false"/>
          <w:color w:val="5A5954"/>
          <w:sz w:val="18"/>
          <w:szCs w:val="18"/>
        </w:rPr>
        <w:t xml:space="preserve">Figure 1. Accuracy and per-class recall with 95% Wilson intervals. The dashed line is chance.</w:t>
      </w:r>
    </w:p>
    <w:p>
      <w:pPr>
        <w:keepNext/>
        <w:spacing w:after="40" w:before="120"/>
        <w:jc w:val="center"/>
      </w:pPr>
      <w:r>
        <w:drawing>
          <wp:inline distT="0" distB="0" distL="0" distR="0">
            <wp:extent cx="3143250" cy="2390775"/>
            <wp:effectExtent t="0" r="0" b="0" l="0"/>
            <wp:docPr id="1" name="fig2_confusion.png" descr="Figure 2. Confusion matrix. Each cell shows the count and the percentage of the true class." title="Figure 2. Confusion matrix. Each cell shows the count and the percentage of the true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390775"/>
                    </a:xfrm>
                    <a:prstGeom prst="rect">
                      <a:avLst/>
                    </a:prstGeom>
                  </pic:spPr>
                </pic:pic>
              </a:graphicData>
            </a:graphic>
          </wp:inline>
        </w:drawing>
      </w:r>
    </w:p>
    <w:p>
      <w:pPr>
        <w:spacing w:after="200" w:before="60"/>
      </w:pPr>
      <w:r>
        <w:rPr>
          <w:rFonts w:ascii="Calibri" w:cs="Calibri" w:eastAsia="Calibri" w:hAnsi="Calibri"/>
          <w:i w:val="false"/>
          <w:iCs w:val="false"/>
          <w:color w:val="5A5954"/>
          <w:sz w:val="18"/>
          <w:szCs w:val="18"/>
        </w:rPr>
        <w:t xml:space="preserve">Figure 2. Confusion matrix. Each cell shows the count and the percentage of the true class.</w:t>
      </w:r>
    </w:p>
    <w:p>
      <w:pPr>
        <w:keepNext/>
        <w:spacing w:after="80" w:before="160"/>
      </w:pPr>
      <w:r>
        <w:rPr>
          <w:rFonts w:ascii="Calibri" w:cs="Calibri" w:eastAsia="Calibri" w:hAnsi="Calibri"/>
          <w:b/>
          <w:bCs/>
          <w:color w:val="1A1A1A"/>
          <w:sz w:val="19"/>
          <w:szCs w:val="19"/>
        </w:rPr>
        <w:t xml:space="preserve">Table 3. Confusion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p>
        </w:tc>
        <w:tc>
          <w:tcPr>
            <w:tcW w:type="dxa" w:w="312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Predicted benign</w:t>
            </w:r>
          </w:p>
        </w:tc>
        <w:tc>
          <w:tcPr>
            <w:tcW w:type="dxa" w:w="312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Predicted malignant</w:t>
            </w:r>
          </w:p>
        </w:tc>
      </w:tr>
      <w:tr>
        <w:trPr>
          <w:cantSplit/>
        </w:trPr>
        <w:tc>
          <w:tcPr>
            <w:tcW w:type="dxa" w:w="312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True malignant (n = 200)</w:t>
            </w:r>
          </w:p>
        </w:tc>
        <w:tc>
          <w:tcPr>
            <w:tcW w:type="dxa" w:w="312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118</w:t>
            </w:r>
          </w:p>
        </w:tc>
        <w:tc>
          <w:tcPr>
            <w:tcW w:type="dxa" w:w="312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82</w:t>
            </w:r>
          </w:p>
        </w:tc>
      </w:tr>
      <w:tr>
        <w:trPr>
          <w:cantSplit/>
        </w:trPr>
        <w:tc>
          <w:tcPr>
            <w:tcW w:type="dxa" w:w="312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r>
              <w:rPr>
                <w:rFonts w:ascii="Calibri" w:cs="Calibri" w:eastAsia="Calibri" w:hAnsi="Calibri"/>
                <w:color w:val="1A1A1A"/>
                <w:sz w:val="19"/>
                <w:szCs w:val="19"/>
              </w:rPr>
              <w:t xml:space="preserve">True benign (n = 200)</w:t>
            </w:r>
          </w:p>
        </w:tc>
        <w:tc>
          <w:tcPr>
            <w:tcW w:type="dxa" w:w="312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148</w:t>
            </w:r>
          </w:p>
        </w:tc>
        <w:tc>
          <w:tcPr>
            <w:tcW w:type="dxa" w:w="312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52</w:t>
            </w:r>
          </w:p>
        </w:tc>
      </w:tr>
    </w:tbl>
    <w:p>
      <w:pPr>
        <w:keepNext/>
        <w:spacing w:after="40" w:before="120"/>
        <w:jc w:val="center"/>
      </w:pPr>
      <w:r>
        <w:drawing>
          <wp:inline distT="0" distB="0" distL="0" distR="0">
            <wp:extent cx="3619500" cy="2333625"/>
            <wp:effectExtent t="0" r="0" b="0" l="0"/>
            <wp:docPr id="1" name="fig3_class_distribution.png" descr="Figure 3. True labels versus model answers: the model chose “benign” more often than the 50% it should." title="Figure 3. True labels versus model answers: the model chose “benign” more often than the 50% it shou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333625"/>
                    </a:xfrm>
                    <a:prstGeom prst="rect">
                      <a:avLst/>
                    </a:prstGeom>
                  </pic:spPr>
                </pic:pic>
              </a:graphicData>
            </a:graphic>
          </wp:inline>
        </w:drawing>
      </w:r>
    </w:p>
    <w:p>
      <w:pPr>
        <w:spacing w:after="200" w:before="60"/>
      </w:pPr>
      <w:r>
        <w:rPr>
          <w:rFonts w:ascii="Calibri" w:cs="Calibri" w:eastAsia="Calibri" w:hAnsi="Calibri"/>
          <w:i w:val="false"/>
          <w:iCs w:val="false"/>
          <w:color w:val="5A5954"/>
          <w:sz w:val="18"/>
          <w:szCs w:val="18"/>
        </w:rPr>
        <w:t xml:space="preserve">Figure 3. True labels versus model answers: the model chose “benign” more often than the 50% it should.</w:t>
      </w:r>
    </w:p>
    <w:p>
      <w:pPr>
        <w:pStyle w:val="Heading1"/>
        <w:keepNext/>
        <w:spacing w:after="140" w:before="320"/>
      </w:pPr>
      <w:r>
        <w:rPr>
          <w:rFonts w:ascii="Calibri" w:cs="Calibri" w:eastAsia="Calibri" w:hAnsi="Calibri"/>
          <w:b/>
          <w:bCs/>
          <w:color w:val="0D366B"/>
          <w:sz w:val="30"/>
          <w:szCs w:val="30"/>
        </w:rPr>
        <w:t xml:space="preserve">3. By image-ID suffix</w:t>
      </w:r>
    </w:p>
    <w:p>
      <w:pPr>
        <w:spacing w:after="120" w:line="276"/>
      </w:pPr>
      <w:r>
        <w:rPr>
          <w:rFonts w:ascii="Calibri" w:cs="Calibri" w:eastAsia="Calibri" w:hAnsi="Calibri"/>
          <w:color w:val="1A1A1A"/>
          <w:sz w:val="21"/>
          <w:szCs w:val="21"/>
        </w:rPr>
        <w:t xml:space="preserve">The only metadata in the results file is the image ID. IDs end in -l, -r or -s; I have not interpreted these suffixes (the file does not say what they mean).</w:t>
      </w:r>
    </w:p>
    <w:p>
      <w:pPr>
        <w:keepNext/>
        <w:spacing w:after="80" w:before="160"/>
      </w:pPr>
      <w:r>
        <w:rPr>
          <w:rFonts w:ascii="Calibri" w:cs="Calibri" w:eastAsia="Calibri" w:hAnsi="Calibri"/>
          <w:b/>
          <w:bCs/>
          <w:color w:val="1A1A1A"/>
          <w:sz w:val="19"/>
          <w:szCs w:val="19"/>
        </w:rPr>
        <w:t xml:space="preserve">Table 4. Results by ID suffix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1500"/>
        <w:gridCol w:w="1300"/>
        <w:gridCol w:w="1500"/>
        <w:gridCol w:w="1100"/>
        <w:gridCol w:w="1100"/>
        <w:gridCol w:w="960"/>
      </w:tblGrid>
      <w:tr>
        <w:trPr>
          <w:cantSplit/>
          <w:tblHeader/>
        </w:trPr>
        <w:tc>
          <w:tcPr>
            <w:tcW w:type="dxa" w:w="11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r>
              <w:rPr>
                <w:rFonts w:ascii="Calibri" w:cs="Calibri" w:eastAsia="Calibri" w:hAnsi="Calibri"/>
                <w:b/>
                <w:bCs/>
                <w:color w:val="1A1A1A"/>
                <w:sz w:val="18"/>
                <w:szCs w:val="18"/>
              </w:rPr>
              <w:t xml:space="preserve">Suffix</w:t>
            </w:r>
          </w:p>
        </w:tc>
        <w:tc>
          <w:tcPr>
            <w:tcW w:type="dxa" w:w="8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8"/>
                <w:szCs w:val="18"/>
              </w:rPr>
              <w:t xml:space="preserve">n</w:t>
            </w:r>
          </w:p>
        </w:tc>
        <w:tc>
          <w:tcPr>
            <w:tcW w:type="dxa" w:w="15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8"/>
                <w:szCs w:val="18"/>
              </w:rPr>
              <w:t xml:space="preserve">Malignant / benign</w:t>
            </w:r>
          </w:p>
        </w:tc>
        <w:tc>
          <w:tcPr>
            <w:tcW w:type="dxa" w:w="13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8"/>
                <w:szCs w:val="18"/>
              </w:rPr>
              <w:t xml:space="preserve">Accuracy</w:t>
            </w:r>
          </w:p>
        </w:tc>
        <w:tc>
          <w:tcPr>
            <w:tcW w:type="dxa" w:w="15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8"/>
                <w:szCs w:val="18"/>
              </w:rPr>
              <w:t xml:space="preserve">95% CI</w:t>
            </w:r>
          </w:p>
        </w:tc>
        <w:tc>
          <w:tcPr>
            <w:tcW w:type="dxa" w:w="11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8"/>
                <w:szCs w:val="18"/>
              </w:rPr>
              <w:t xml:space="preserve">Sens.</w:t>
            </w:r>
          </w:p>
        </w:tc>
        <w:tc>
          <w:tcPr>
            <w:tcW w:type="dxa" w:w="11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8"/>
                <w:szCs w:val="18"/>
              </w:rPr>
              <w:t xml:space="preserve">Spec.</w:t>
            </w:r>
          </w:p>
        </w:tc>
        <w:tc>
          <w:tcPr>
            <w:tcW w:type="dxa" w:w="96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8"/>
                <w:szCs w:val="18"/>
              </w:rPr>
              <w:t xml:space="preserve">Said malig.</w:t>
            </w:r>
          </w:p>
        </w:tc>
      </w:tr>
      <w:tr>
        <w:trPr>
          <w:cantSplit/>
        </w:trPr>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8"/>
                <w:szCs w:val="18"/>
              </w:rPr>
              <w:t xml:space="preserve">-l</w:t>
            </w:r>
          </w:p>
        </w:tc>
        <w:tc>
          <w:tcPr>
            <w:tcW w:type="dxa" w:w="8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8"/>
                <w:szCs w:val="18"/>
              </w:rPr>
              <w:t xml:space="preserve">166</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8"/>
                <w:szCs w:val="18"/>
              </w:rPr>
              <w:t xml:space="preserve">79 / 87</w:t>
            </w:r>
          </w:p>
        </w:tc>
        <w:tc>
          <w:tcPr>
            <w:tcW w:type="dxa" w:w="13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8"/>
                <w:szCs w:val="18"/>
              </w:rPr>
              <w:t xml:space="preserve">58.4%</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8"/>
                <w:szCs w:val="18"/>
              </w:rPr>
              <w:t xml:space="preserve">50.8–65.7%</w:t>
            </w:r>
          </w:p>
        </w:tc>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8"/>
                <w:szCs w:val="18"/>
              </w:rPr>
              <w:t xml:space="preserve">53.2%</w:t>
            </w:r>
          </w:p>
        </w:tc>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8"/>
                <w:szCs w:val="18"/>
              </w:rPr>
              <w:t xml:space="preserve">63.2%</w:t>
            </w:r>
          </w:p>
        </w:tc>
        <w:tc>
          <w:tcPr>
            <w:tcW w:type="dxa" w:w="9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8"/>
                <w:szCs w:val="18"/>
              </w:rPr>
              <w:t xml:space="preserve">44.6%</w:t>
            </w:r>
          </w:p>
        </w:tc>
      </w:tr>
      <w:tr>
        <w:trPr>
          <w:cantSplit/>
        </w:trPr>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8"/>
                <w:szCs w:val="18"/>
              </w:rPr>
              <w:t xml:space="preserve">-r</w:t>
            </w:r>
          </w:p>
        </w:tc>
        <w:tc>
          <w:tcPr>
            <w:tcW w:type="dxa" w:w="8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8"/>
                <w:szCs w:val="18"/>
              </w:rPr>
              <w:t xml:space="preserve">151</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8"/>
                <w:szCs w:val="18"/>
              </w:rPr>
              <w:t xml:space="preserve">80 / 71</w:t>
            </w:r>
          </w:p>
        </w:tc>
        <w:tc>
          <w:tcPr>
            <w:tcW w:type="dxa" w:w="13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8"/>
                <w:szCs w:val="18"/>
              </w:rPr>
              <w:t xml:space="preserve">53.6%</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8"/>
                <w:szCs w:val="18"/>
              </w:rPr>
              <w:t xml:space="preserve">45.7–61.4%</w:t>
            </w:r>
          </w:p>
        </w:tc>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8"/>
                <w:szCs w:val="18"/>
              </w:rPr>
              <w:t xml:space="preserve">32.5%</w:t>
            </w:r>
          </w:p>
        </w:tc>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8"/>
                <w:szCs w:val="18"/>
              </w:rPr>
              <w:t xml:space="preserve">77.5%</w:t>
            </w:r>
          </w:p>
        </w:tc>
        <w:tc>
          <w:tcPr>
            <w:tcW w:type="dxa" w:w="9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8"/>
                <w:szCs w:val="18"/>
              </w:rPr>
              <w:t xml:space="preserve">27.8%</w:t>
            </w:r>
          </w:p>
        </w:tc>
      </w:tr>
      <w:tr>
        <w:trPr>
          <w:cantSplit/>
        </w:trPr>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r>
              <w:rPr>
                <w:rFonts w:ascii="Calibri" w:cs="Calibri" w:eastAsia="Calibri" w:hAnsi="Calibri"/>
                <w:color w:val="1A1A1A"/>
                <w:sz w:val="18"/>
                <w:szCs w:val="18"/>
              </w:rPr>
              <w:t xml:space="preserve">-s</w:t>
            </w:r>
          </w:p>
        </w:tc>
        <w:tc>
          <w:tcPr>
            <w:tcW w:type="dxa" w:w="8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8"/>
                <w:szCs w:val="18"/>
              </w:rPr>
              <w:t xml:space="preserve">83</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8"/>
                <w:szCs w:val="18"/>
              </w:rPr>
              <w:t xml:space="preserve">41 / 42</w:t>
            </w:r>
          </w:p>
        </w:tc>
        <w:tc>
          <w:tcPr>
            <w:tcW w:type="dxa" w:w="13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8"/>
                <w:szCs w:val="18"/>
              </w:rPr>
              <w:t xml:space="preserve">62.7%</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8"/>
                <w:szCs w:val="18"/>
              </w:rPr>
              <w:t xml:space="preserve">51.9–72.3%</w:t>
            </w:r>
          </w:p>
        </w:tc>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8"/>
                <w:szCs w:val="18"/>
              </w:rPr>
              <w:t xml:space="preserve">34.1%</w:t>
            </w:r>
          </w:p>
        </w:tc>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8"/>
                <w:szCs w:val="18"/>
              </w:rPr>
              <w:t xml:space="preserve">90.5%</w:t>
            </w:r>
          </w:p>
        </w:tc>
        <w:tc>
          <w:tcPr>
            <w:tcW w:type="dxa" w:w="9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8"/>
                <w:szCs w:val="18"/>
              </w:rPr>
              <w:t xml:space="preserve">21.7%</w:t>
            </w:r>
          </w:p>
        </w:tc>
      </w:tr>
    </w:tbl>
    <w:p>
      <w:pPr>
        <w:spacing w:after="60" w:line="276"/>
      </w:pPr>
      <w:r>
        <w:rPr>
          <w:rFonts w:ascii="Calibri" w:cs="Calibri" w:eastAsia="Calibri" w:hAnsi="Calibri"/>
          <w:color w:val="1A1A1A"/>
          <w:sz w:val="19"/>
          <w:szCs w:val="19"/>
        </w:rPr>
        <w:t xml:space="preserve">Accuracy does not differ detectably between suffixes (chi-square p = 0.39; the -r interval contains 50%). The share of “malignant” answers does (74, 42 and 18 answers; chi-square p = 0.0003), and the operating point moves with it: sensitivity is higher and specificity lower in -l than in -r and -s. The files do not say why; the suffix may correspond to a different image type, which I cannot confirm.</w:t>
      </w:r>
    </w:p>
    <w:p>
      <w:pPr>
        <w:keepNext/>
        <w:spacing w:after="40" w:before="120"/>
        <w:jc w:val="center"/>
      </w:pPr>
      <w:r>
        <w:drawing>
          <wp:inline distT="0" distB="0" distL="0" distR="0">
            <wp:extent cx="4381500" cy="2971800"/>
            <wp:effectExtent t="0" r="0" b="0" l="0"/>
            <wp:docPr id="1" name="fig4_by_id_suffix.png" descr="Figure 4. Accuracy and share of “malignant” answers by ID suffix." title="Figure 4. Accuracy and share of “malignant” answers by ID suf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971800"/>
                    </a:xfrm>
                    <a:prstGeom prst="rect">
                      <a:avLst/>
                    </a:prstGeom>
                  </pic:spPr>
                </pic:pic>
              </a:graphicData>
            </a:graphic>
          </wp:inline>
        </w:drawing>
      </w:r>
    </w:p>
    <w:p>
      <w:pPr>
        <w:spacing w:after="200" w:before="60"/>
      </w:pPr>
      <w:r>
        <w:rPr>
          <w:rFonts w:ascii="Calibri" w:cs="Calibri" w:eastAsia="Calibri" w:hAnsi="Calibri"/>
          <w:i w:val="false"/>
          <w:iCs w:val="false"/>
          <w:color w:val="5A5954"/>
          <w:sz w:val="18"/>
          <w:szCs w:val="18"/>
        </w:rPr>
        <w:t xml:space="preserve">Figure 4. Accuracy and share of “malignant” answers by ID suffix.</w:t>
      </w:r>
    </w:p>
    <w:p>
      <w:pPr>
        <w:pStyle w:val="Heading1"/>
        <w:keepNext/>
        <w:spacing w:after="140" w:before="320"/>
      </w:pPr>
      <w:r>
        <w:rPr>
          <w:rFonts w:ascii="Calibri" w:cs="Calibri" w:eastAsia="Calibri" w:hAnsi="Calibri"/>
          <w:b/>
          <w:bCs/>
          <w:color w:val="0D366B"/>
          <w:sz w:val="30"/>
          <w:szCs w:val="30"/>
        </w:rPr>
        <w:t xml:space="preserve">4. Comparison with the other three models</w:t>
      </w:r>
    </w:p>
    <w:p>
      <w:pPr>
        <w:keepNext/>
        <w:spacing w:after="80" w:before="160"/>
      </w:pPr>
      <w:r>
        <w:rPr>
          <w:rFonts w:ascii="Calibri" w:cs="Calibri" w:eastAsia="Calibri" w:hAnsi="Calibri"/>
          <w:b/>
          <w:bCs/>
          <w:color w:val="1A1A1A"/>
          <w:sz w:val="19"/>
          <w:szCs w:val="19"/>
        </w:rPr>
        <w:t xml:space="preserve">Table 5. BUS-BRA results for all four models (same 400 images, prompt, parser and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cantSplit/>
          <w:tblHeader/>
        </w:trPr>
        <w:tc>
          <w:tcPr>
            <w:tcW w:type="dxa" w:w="276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p>
        </w:tc>
        <w:tc>
          <w:tcPr>
            <w:tcW w:type="dxa" w:w="165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Qwen2-VL-2B</w:t>
            </w:r>
          </w:p>
        </w:tc>
        <w:tc>
          <w:tcPr>
            <w:tcW w:type="dxa" w:w="165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MedVLM-R1</w:t>
            </w:r>
          </w:p>
        </w:tc>
        <w:tc>
          <w:tcPr>
            <w:tcW w:type="dxa" w:w="165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Gemma 3 4B</w:t>
            </w:r>
          </w:p>
        </w:tc>
        <w:tc>
          <w:tcPr>
            <w:tcW w:type="dxa" w:w="165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MedGemma 4B</w:t>
            </w:r>
          </w:p>
        </w:tc>
      </w:tr>
      <w:tr>
        <w:trPr>
          <w:cantSplit/>
        </w:trPr>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Accuracy</w:t>
            </w:r>
          </w:p>
        </w:tc>
        <w:tc>
          <w:tcPr>
            <w:tcW w:type="dxa" w:w="16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50.0%</w:t>
            </w:r>
          </w:p>
        </w:tc>
        <w:tc>
          <w:tcPr>
            <w:tcW w:type="dxa" w:w="16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50.0%</w:t>
            </w:r>
          </w:p>
        </w:tc>
        <w:tc>
          <w:tcPr>
            <w:tcW w:type="dxa" w:w="16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50.25%</w:t>
            </w:r>
          </w:p>
        </w:tc>
        <w:tc>
          <w:tcPr>
            <w:tcW w:type="dxa" w:w="16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57.5%</w:t>
            </w:r>
          </w:p>
        </w:tc>
      </w:tr>
      <w:tr>
        <w:trPr>
          <w:cantSplit/>
        </w:trPr>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p vs 50% (one-sided)</w:t>
            </w:r>
          </w:p>
        </w:tc>
        <w:tc>
          <w:tcPr>
            <w:tcW w:type="dxa" w:w="16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0.52</w:t>
            </w:r>
          </w:p>
        </w:tc>
        <w:tc>
          <w:tcPr>
            <w:tcW w:type="dxa" w:w="16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0.52</w:t>
            </w:r>
          </w:p>
        </w:tc>
        <w:tc>
          <w:tcPr>
            <w:tcW w:type="dxa" w:w="16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0.48</w:t>
            </w:r>
          </w:p>
        </w:tc>
        <w:tc>
          <w:tcPr>
            <w:tcW w:type="dxa" w:w="16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0.0016</w:t>
            </w:r>
          </w:p>
        </w:tc>
      </w:tr>
      <w:tr>
        <w:trPr>
          <w:cantSplit/>
        </w:trPr>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Sensitivity</w:t>
            </w:r>
          </w:p>
        </w:tc>
        <w:tc>
          <w:tcPr>
            <w:tcW w:type="dxa" w:w="16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0.0%</w:t>
            </w:r>
          </w:p>
        </w:tc>
        <w:tc>
          <w:tcPr>
            <w:tcW w:type="dxa" w:w="16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0.0%</w:t>
            </w:r>
          </w:p>
        </w:tc>
        <w:tc>
          <w:tcPr>
            <w:tcW w:type="dxa" w:w="16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98.0%</w:t>
            </w:r>
          </w:p>
        </w:tc>
        <w:tc>
          <w:tcPr>
            <w:tcW w:type="dxa" w:w="16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41.0%</w:t>
            </w:r>
          </w:p>
        </w:tc>
      </w:tr>
      <w:tr>
        <w:trPr>
          <w:cantSplit/>
        </w:trPr>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Specificity</w:t>
            </w:r>
          </w:p>
        </w:tc>
        <w:tc>
          <w:tcPr>
            <w:tcW w:type="dxa" w:w="16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100%</w:t>
            </w:r>
          </w:p>
        </w:tc>
        <w:tc>
          <w:tcPr>
            <w:tcW w:type="dxa" w:w="16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100%</w:t>
            </w:r>
          </w:p>
        </w:tc>
        <w:tc>
          <w:tcPr>
            <w:tcW w:type="dxa" w:w="16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2.5%</w:t>
            </w:r>
          </w:p>
        </w:tc>
        <w:tc>
          <w:tcPr>
            <w:tcW w:type="dxa" w:w="16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74.0%</w:t>
            </w:r>
          </w:p>
        </w:tc>
      </w:tr>
      <w:tr>
        <w:trPr>
          <w:cantSplit/>
        </w:trPr>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MCC</w:t>
            </w:r>
          </w:p>
        </w:tc>
        <w:tc>
          <w:tcPr>
            <w:tcW w:type="dxa" w:w="16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0.000</w:t>
            </w:r>
          </w:p>
        </w:tc>
        <w:tc>
          <w:tcPr>
            <w:tcW w:type="dxa" w:w="16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0.000</w:t>
            </w:r>
          </w:p>
        </w:tc>
        <w:tc>
          <w:tcPr>
            <w:tcW w:type="dxa" w:w="16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0.017</w:t>
            </w:r>
          </w:p>
        </w:tc>
        <w:tc>
          <w:tcPr>
            <w:tcW w:type="dxa" w:w="16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0.159</w:t>
            </w:r>
          </w:p>
        </w:tc>
      </w:tr>
      <w:tr>
        <w:trPr>
          <w:cantSplit/>
        </w:trPr>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r>
              <w:rPr>
                <w:rFonts w:ascii="Calibri" w:cs="Calibri" w:eastAsia="Calibri" w:hAnsi="Calibri"/>
                <w:color w:val="1A1A1A"/>
                <w:sz w:val="19"/>
                <w:szCs w:val="19"/>
              </w:rPr>
              <w:t xml:space="preserve">Answered “malignant”</w:t>
            </w:r>
          </w:p>
        </w:tc>
        <w:tc>
          <w:tcPr>
            <w:tcW w:type="dxa" w:w="16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0 / 400</w:t>
            </w:r>
          </w:p>
        </w:tc>
        <w:tc>
          <w:tcPr>
            <w:tcW w:type="dxa" w:w="16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0 / 400</w:t>
            </w:r>
          </w:p>
        </w:tc>
        <w:tc>
          <w:tcPr>
            <w:tcW w:type="dxa" w:w="16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391 / 400</w:t>
            </w:r>
          </w:p>
        </w:tc>
        <w:tc>
          <w:tcPr>
            <w:tcW w:type="dxa" w:w="16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134 / 400</w:t>
            </w:r>
          </w:p>
        </w:tc>
      </w:tr>
    </w:tbl>
    <w:p>
      <w:pPr>
        <w:spacing w:after="100"/>
      </w:pPr>
    </w:p>
    <w:p>
      <w:pPr>
        <w:keepNext/>
        <w:spacing w:after="80" w:before="160"/>
      </w:pPr>
      <w:r>
        <w:rPr>
          <w:rFonts w:ascii="Calibri" w:cs="Calibri" w:eastAsia="Calibri" w:hAnsi="Calibri"/>
          <w:b/>
          <w:bCs/>
          <w:color w:val="1A1A1A"/>
          <w:sz w:val="19"/>
          <w:szCs w:val="19"/>
        </w:rPr>
        <w:t xml:space="preserve">Table 6. MedGemma versus each model (paired, same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500"/>
        <w:gridCol w:w="1500"/>
        <w:gridCol w:w="1500"/>
        <w:gridCol w:w="1200"/>
        <w:gridCol w:w="900"/>
      </w:tblGrid>
      <w:tr>
        <w:trPr>
          <w:cantSplit/>
          <w:tblHeader/>
        </w:trPr>
        <w:tc>
          <w:tcPr>
            <w:tcW w:type="dxa" w:w="276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p>
        </w:tc>
        <w:tc>
          <w:tcPr>
            <w:tcW w:type="dxa" w:w="15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Both right</w:t>
            </w:r>
          </w:p>
        </w:tc>
        <w:tc>
          <w:tcPr>
            <w:tcW w:type="dxa" w:w="15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MedGemma only</w:t>
            </w:r>
          </w:p>
        </w:tc>
        <w:tc>
          <w:tcPr>
            <w:tcW w:type="dxa" w:w="15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Other only</w:t>
            </w:r>
          </w:p>
        </w:tc>
        <w:tc>
          <w:tcPr>
            <w:tcW w:type="dxa" w:w="12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Neither</w:t>
            </w:r>
          </w:p>
        </w:tc>
        <w:tc>
          <w:tcPr>
            <w:tcW w:type="dxa" w:w="9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McNemar p</w:t>
            </w:r>
          </w:p>
        </w:tc>
      </w:tr>
      <w:tr>
        <w:trPr>
          <w:cantSplit/>
        </w:trPr>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vs Gemma 3 4B-it</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86</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144</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115</w:t>
            </w:r>
          </w:p>
        </w:tc>
        <w:tc>
          <w:tcPr>
            <w:tcW w:type="dxa" w:w="1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55</w:t>
            </w:r>
          </w:p>
        </w:tc>
        <w:tc>
          <w:tcPr>
            <w:tcW w:type="dxa" w:w="9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0.082</w:t>
            </w:r>
          </w:p>
        </w:tc>
      </w:tr>
      <w:tr>
        <w:trPr>
          <w:cantSplit/>
        </w:trPr>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r>
              <w:rPr>
                <w:rFonts w:ascii="Calibri" w:cs="Calibri" w:eastAsia="Calibri" w:hAnsi="Calibri"/>
                <w:color w:val="1A1A1A"/>
                <w:sz w:val="19"/>
                <w:szCs w:val="19"/>
              </w:rPr>
              <w:t xml:space="preserve">vs Qwen2-VL / MedVLM-R1</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148</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82</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52</w:t>
            </w:r>
          </w:p>
        </w:tc>
        <w:tc>
          <w:tcPr>
            <w:tcW w:type="dxa" w:w="1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118</w:t>
            </w:r>
          </w:p>
        </w:tc>
        <w:tc>
          <w:tcPr>
            <w:tcW w:type="dxa" w:w="9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0.012</w:t>
            </w:r>
          </w:p>
        </w:tc>
      </w:tr>
    </w:tbl>
    <w:p>
      <w:pPr>
        <w:pStyle w:val="ListParagraph"/>
        <w:numPr>
          <w:ilvl w:val="0"/>
          <w:numId w:val="2"/>
        </w:numPr>
        <w:spacing w:after="70" w:line="270"/>
      </w:pPr>
      <w:r>
        <w:rPr>
          <w:rFonts w:ascii="Calibri" w:cs="Calibri" w:eastAsia="Calibri" w:hAnsi="Calibri"/>
          <w:b/>
          <w:bCs/>
          <w:color w:val="1A1A1A"/>
          <w:sz w:val="21"/>
          <w:szCs w:val="21"/>
        </w:rPr>
        <w:t xml:space="preserve">Agreement:</w:t>
      </w:r>
      <w:r>
        <w:rPr>
          <w:rFonts w:ascii="Calibri" w:cs="Calibri" w:eastAsia="Calibri" w:hAnsi="Calibri"/>
          <w:color w:val="1A1A1A"/>
          <w:sz w:val="21"/>
          <w:szCs w:val="21"/>
        </w:rPr>
        <w:t xml:space="preserve"> MedGemma gives the same answer as Gemma 3 on 141 of 400 images (35%), and the same as the Qwen models on 266 of 400 (66.5%), which are exactly its “benign” answers.</w:t>
      </w:r>
    </w:p>
    <w:p>
      <w:pPr>
        <w:pStyle w:val="ListParagraph"/>
        <w:numPr>
          <w:ilvl w:val="0"/>
          <w:numId w:val="2"/>
        </w:numPr>
        <w:spacing w:after="70" w:line="270"/>
      </w:pPr>
      <w:r>
        <w:rPr>
          <w:rFonts w:ascii="Calibri" w:cs="Calibri" w:eastAsia="Calibri" w:hAnsi="Calibri"/>
          <w:b/>
          <w:bCs/>
          <w:color w:val="1A1A1A"/>
          <w:sz w:val="21"/>
          <w:szCs w:val="21"/>
        </w:rPr>
        <w:t xml:space="preserve">Against Gemma 3:</w:t>
      </w:r>
      <w:r>
        <w:rPr>
          <w:rFonts w:ascii="Calibri" w:cs="Calibri" w:eastAsia="Calibri" w:hAnsi="Calibri"/>
          <w:color w:val="1A1A1A"/>
          <w:sz w:val="21"/>
          <w:szCs w:val="21"/>
        </w:rPr>
        <w:t xml:space="preserve"> same base architecture, but the difference (230 vs 201 correct) is not significant in a paired test (p = 0.082), and Gemma 3’s accuracy is itself chance level. Medical fine-tuning is therefore consistent with a gain here, but this sample does not establish it.</w:t>
      </w:r>
    </w:p>
    <w:p>
      <w:pPr>
        <w:pStyle w:val="ListParagraph"/>
        <w:numPr>
          <w:ilvl w:val="0"/>
          <w:numId w:val="2"/>
        </w:numPr>
        <w:spacing w:after="70" w:line="270"/>
      </w:pPr>
      <w:r>
        <w:rPr>
          <w:rFonts w:ascii="Calibri" w:cs="Calibri" w:eastAsia="Calibri" w:hAnsi="Calibri"/>
          <w:b/>
          <w:bCs/>
          <w:color w:val="1A1A1A"/>
          <w:sz w:val="21"/>
          <w:szCs w:val="21"/>
        </w:rPr>
        <w:t xml:space="preserve">Against the Qwen models:</w:t>
      </w:r>
      <w:r>
        <w:rPr>
          <w:rFonts w:ascii="Calibri" w:cs="Calibri" w:eastAsia="Calibri" w:hAnsi="Calibri"/>
          <w:color w:val="1A1A1A"/>
          <w:sz w:val="21"/>
          <w:szCs w:val="21"/>
        </w:rPr>
        <w:t xml:space="preserve"> the McNemar p of 0.012 is unadjusted and, because those models are constant, it adds little beyond MedGemma’s own test against chance (p = 0.0016).</w:t>
      </w:r>
    </w:p>
    <w:p>
      <w:pPr>
        <w:pStyle w:val="ListParagraph"/>
        <w:numPr>
          <w:ilvl w:val="0"/>
          <w:numId w:val="2"/>
        </w:numPr>
        <w:spacing w:after="70" w:line="270"/>
      </w:pPr>
      <w:r>
        <w:rPr>
          <w:rFonts w:ascii="Calibri" w:cs="Calibri" w:eastAsia="Calibri" w:hAnsi="Calibri"/>
          <w:b/>
          <w:bCs/>
          <w:color w:val="1A1A1A"/>
          <w:sz w:val="21"/>
          <w:szCs w:val="21"/>
        </w:rPr>
        <w:t xml:space="preserve">Multiple comparisons:</w:t>
      </w:r>
      <w:r>
        <w:rPr>
          <w:rFonts w:ascii="Calibri" w:cs="Calibri" w:eastAsia="Calibri" w:hAnsi="Calibri"/>
          <w:color w:val="1A1A1A"/>
          <w:sz w:val="21"/>
          <w:szCs w:val="21"/>
        </w:rPr>
        <w:t xml:space="preserve"> MedGemma’s result against chance remains significant after a Bonferroni correction for four models (threshold 0.0125). It is one run with one prompt, so it does not measure variation across prompts or samples.</w:t>
      </w:r>
    </w:p>
    <w:p>
      <w:pPr>
        <w:pStyle w:val="Heading1"/>
        <w:keepNext/>
        <w:spacing w:after="140" w:before="320"/>
      </w:pPr>
      <w:r>
        <w:rPr>
          <w:rFonts w:ascii="Calibri" w:cs="Calibri" w:eastAsia="Calibri" w:hAnsi="Calibri"/>
          <w:b/>
          <w:bCs/>
          <w:color w:val="0D366B"/>
          <w:sz w:val="30"/>
          <w:szCs w:val="30"/>
        </w:rPr>
        <w:t xml:space="preserve">5. Interpretation and caveats</w:t>
      </w:r>
    </w:p>
    <w:p>
      <w:pPr>
        <w:pStyle w:val="ListParagraph"/>
        <w:numPr>
          <w:ilvl w:val="0"/>
          <w:numId w:val="2"/>
        </w:numPr>
        <w:spacing w:after="70" w:line="270"/>
      </w:pPr>
      <w:r>
        <w:rPr>
          <w:rFonts w:ascii="Calibri" w:cs="Calibri" w:eastAsia="Calibri" w:hAnsi="Calibri"/>
          <w:b/>
          <w:bCs/>
          <w:color w:val="1A1A1A"/>
          <w:sz w:val="21"/>
          <w:szCs w:val="21"/>
        </w:rPr>
        <w:t xml:space="preserve">What the result says:</w:t>
      </w:r>
      <w:r>
        <w:rPr>
          <w:rFonts w:ascii="Calibri" w:cs="Calibri" w:eastAsia="Calibri" w:hAnsi="Calibri"/>
          <w:color w:val="1A1A1A"/>
          <w:sz w:val="21"/>
          <w:szCs w:val="21"/>
        </w:rPr>
        <w:t xml:space="preserve"> MedGemma’s answers carry some information about the label (precision 61%, odds ratio about 2), so it is not purely prior-driven. The signal is weak.</w:t>
      </w:r>
    </w:p>
    <w:p>
      <w:pPr>
        <w:pStyle w:val="ListParagraph"/>
        <w:numPr>
          <w:ilvl w:val="0"/>
          <w:numId w:val="2"/>
        </w:numPr>
        <w:spacing w:after="70" w:line="270"/>
      </w:pPr>
      <w:r>
        <w:rPr>
          <w:rFonts w:ascii="Calibri" w:cs="Calibri" w:eastAsia="Calibri" w:hAnsi="Calibri"/>
          <w:b/>
          <w:bCs/>
          <w:color w:val="1A1A1A"/>
          <w:sz w:val="21"/>
          <w:szCs w:val="21"/>
        </w:rPr>
        <w:t xml:space="preserve">Operating point:</w:t>
      </w:r>
      <w:r>
        <w:rPr>
          <w:rFonts w:ascii="Calibri" w:cs="Calibri" w:eastAsia="Calibri" w:hAnsi="Calibri"/>
          <w:color w:val="1A1A1A"/>
          <w:sz w:val="21"/>
          <w:szCs w:val="21"/>
        </w:rPr>
        <w:t xml:space="preserve"> it leans benign, so 59% of cancers are missed. For a screening-type use this is the costly error. Whether another threshold would help cannot be tested because only decoded text was saved.</w:t>
      </w:r>
    </w:p>
    <w:p>
      <w:pPr>
        <w:pStyle w:val="ListParagraph"/>
        <w:numPr>
          <w:ilvl w:val="0"/>
          <w:numId w:val="2"/>
        </w:numPr>
        <w:spacing w:after="70" w:line="270"/>
      </w:pPr>
      <w:r>
        <w:rPr>
          <w:rFonts w:ascii="Calibri" w:cs="Calibri" w:eastAsia="Calibri" w:hAnsi="Calibri"/>
          <w:b/>
          <w:bCs/>
          <w:color w:val="1A1A1A"/>
          <w:sz w:val="21"/>
          <w:szCs w:val="21"/>
        </w:rPr>
        <w:t xml:space="preserve">Natural class mix:</w:t>
      </w:r>
      <w:r>
        <w:rPr>
          <w:rFonts w:ascii="Calibri" w:cs="Calibri" w:eastAsia="Calibri" w:hAnsi="Calibri"/>
          <w:color w:val="1A1A1A"/>
          <w:sz w:val="21"/>
          <w:szCs w:val="21"/>
        </w:rPr>
        <w:t xml:space="preserve"> the sample is balanced on purpose. In the full dataset benign images are more common than malignant ones, so a benign-leaning model would look better on accuracy there; a comparison with an always-benign baseline would then be needed before drawing conclusions. Sensitivity and specificity are the numbers to carry across.</w:t>
      </w:r>
    </w:p>
    <w:p>
      <w:pPr>
        <w:pStyle w:val="ListParagraph"/>
        <w:numPr>
          <w:ilvl w:val="0"/>
          <w:numId w:val="2"/>
        </w:numPr>
        <w:spacing w:after="70" w:line="270"/>
      </w:pPr>
      <w:r>
        <w:rPr>
          <w:rFonts w:ascii="Calibri" w:cs="Calibri" w:eastAsia="Calibri" w:hAnsi="Calibri"/>
          <w:b/>
          <w:bCs/>
          <w:color w:val="1A1A1A"/>
          <w:sz w:val="21"/>
          <w:szCs w:val="21"/>
        </w:rPr>
        <w:t xml:space="preserve">Does it use the image?</w:t>
      </w:r>
      <w:r>
        <w:rPr>
          <w:rFonts w:ascii="Calibri" w:cs="Calibri" w:eastAsia="Calibri" w:hAnsi="Calibri"/>
          <w:color w:val="1A1A1A"/>
          <w:sz w:val="21"/>
          <w:szCs w:val="21"/>
        </w:rPr>
        <w:t xml:space="preserve"> Varying answers and above-chance accuracy suggest yes, but the files do not rule out other cues. The suffix effect on the “malignant” rate shows that something in the input changes the answer; a blank-image control would show how much the answer depends on the lesion itself.</w:t>
      </w:r>
    </w:p>
    <w:p>
      <w:pPr>
        <w:pStyle w:val="ListParagraph"/>
        <w:numPr>
          <w:ilvl w:val="0"/>
          <w:numId w:val="2"/>
        </w:numPr>
        <w:spacing w:after="70" w:line="270"/>
      </w:pPr>
      <w:r>
        <w:rPr>
          <w:rFonts w:ascii="Calibri" w:cs="Calibri" w:eastAsia="Calibri" w:hAnsi="Calibri"/>
          <w:b/>
          <w:bCs/>
          <w:color w:val="1A1A1A"/>
          <w:sz w:val="21"/>
          <w:szCs w:val="21"/>
        </w:rPr>
        <w:t xml:space="preserve">Unknowns:</w:t>
      </w:r>
      <w:r>
        <w:rPr>
          <w:rFonts w:ascii="Calibri" w:cs="Calibri" w:eastAsia="Calibri" w:hAnsi="Calibri"/>
          <w:color w:val="1A1A1A"/>
          <w:sz w:val="21"/>
          <w:szCs w:val="21"/>
        </w:rPr>
        <w:t xml:space="preserve"> whether BUS-BRA or similar data was part of MedGemma’s training cannot be determined from these files.</w:t>
      </w:r>
    </w:p>
    <w:p>
      <w:pPr>
        <w:pStyle w:val="ListParagraph"/>
        <w:numPr>
          <w:ilvl w:val="0"/>
          <w:numId w:val="2"/>
        </w:numPr>
        <w:spacing w:after="70" w:line="270"/>
      </w:pPr>
      <w:r>
        <w:rPr>
          <w:rFonts w:ascii="Calibri" w:cs="Calibri" w:eastAsia="Calibri" w:hAnsi="Calibri"/>
          <w:b/>
          <w:bCs/>
          <w:color w:val="1A1A1A"/>
          <w:sz w:val="21"/>
          <w:szCs w:val="21"/>
        </w:rPr>
        <w:t xml:space="preserve">Not a clinical evaluation:</w:t>
      </w:r>
      <w:r>
        <w:rPr>
          <w:rFonts w:ascii="Calibri" w:cs="Calibri" w:eastAsia="Calibri" w:hAnsi="Calibri"/>
          <w:color w:val="1A1A1A"/>
          <w:sz w:val="21"/>
          <w:szCs w:val="21"/>
        </w:rPr>
        <w:t xml:space="preserve"> these results describe benchmark behaviour only.</w:t>
      </w:r>
    </w:p>
    <w:p>
      <w:pPr>
        <w:pStyle w:val="Heading1"/>
        <w:keepNext/>
        <w:spacing w:after="140" w:before="320"/>
      </w:pPr>
      <w:r>
        <w:rPr>
          <w:rFonts w:ascii="Calibri" w:cs="Calibri" w:eastAsia="Calibri" w:hAnsi="Calibri"/>
          <w:b/>
          <w:bCs/>
          <w:color w:val="0D366B"/>
          <w:sz w:val="30"/>
          <w:szCs w:val="30"/>
        </w:rPr>
        <w:t xml:space="preserve">6. Next steps</w:t>
      </w:r>
    </w:p>
    <w:p>
      <w:pPr>
        <w:pStyle w:val="ListParagraph"/>
        <w:numPr>
          <w:ilvl w:val="0"/>
          <w:numId w:val="2"/>
        </w:numPr>
        <w:spacing w:after="70" w:line="270"/>
      </w:pPr>
      <w:r>
        <w:rPr>
          <w:rFonts w:ascii="Calibri" w:cs="Calibri" w:eastAsia="Calibri" w:hAnsi="Calibri"/>
          <w:color w:val="1A1A1A"/>
          <w:sz w:val="21"/>
          <w:szCs w:val="21"/>
        </w:rPr>
        <w:t xml:space="preserve">Compare all four models on both datasets in one report (BUS-BRA and RadImageNet-VQA), if wanted.</w:t>
      </w:r>
    </w:p>
    <w:p>
      <w:pPr>
        <w:pStyle w:val="ListParagraph"/>
        <w:numPr>
          <w:ilvl w:val="0"/>
          <w:numId w:val="2"/>
        </w:numPr>
        <w:spacing w:after="70" w:line="270"/>
      </w:pPr>
      <w:r>
        <w:rPr>
          <w:rFonts w:ascii="Calibri" w:cs="Calibri" w:eastAsia="Calibri" w:hAnsi="Calibri"/>
          <w:color w:val="1A1A1A"/>
          <w:sz w:val="21"/>
          <w:szCs w:val="21"/>
        </w:rPr>
        <w:t xml:space="preserve">Pipeline sanity check: run the same prompt on a few blank (black) images for all four models. MedGemma’s answers on blank images give a baseline for how much of its signal comes from the lesion.</w:t>
      </w:r>
    </w:p>
    <w:p>
      <w:pPr>
        <w:pStyle w:val="ListParagraph"/>
        <w:numPr>
          <w:ilvl w:val="0"/>
          <w:numId w:val="2"/>
        </w:numPr>
        <w:spacing w:after="70" w:line="270"/>
      </w:pPr>
      <w:r>
        <w:rPr>
          <w:rFonts w:ascii="Calibri" w:cs="Calibri" w:eastAsia="Calibri" w:hAnsi="Calibri"/>
          <w:color w:val="1A1A1A"/>
          <w:sz w:val="21"/>
          <w:szCs w:val="21"/>
        </w:rPr>
        <w:t xml:space="preserve">Save a score for each image (for example the log-probability of “benign” versus “malignant”). With it, AUC and the sensitivity at a chosen specificity can be computed, which matters most for MedGemma and Gemma 3, whose fixed leanings hide any ranking.</w:t>
      </w:r>
    </w:p>
    <w:p>
      <w:pPr>
        <w:pStyle w:val="ListParagraph"/>
        <w:numPr>
          <w:ilvl w:val="0"/>
          <w:numId w:val="2"/>
        </w:numPr>
        <w:spacing w:after="70" w:line="270"/>
      </w:pPr>
      <w:r>
        <w:rPr>
          <w:rFonts w:ascii="Calibri" w:cs="Calibri" w:eastAsia="Calibri" w:hAnsi="Calibri"/>
          <w:color w:val="1A1A1A"/>
          <w:sz w:val="21"/>
          <w:szCs w:val="21"/>
        </w:rPr>
        <w:t xml:space="preserve">Test one prompt variant (label order swapped) to see how much of MedGemma’s benign lean depends on wording.</w:t>
      </w:r>
    </w:p>
    <w:p>
      <w:pPr>
        <w:pStyle w:val="ListParagraph"/>
        <w:numPr>
          <w:ilvl w:val="0"/>
          <w:numId w:val="2"/>
        </w:numPr>
        <w:spacing w:after="70" w:line="270"/>
      </w:pPr>
      <w:r>
        <w:rPr>
          <w:rFonts w:ascii="Calibri" w:cs="Calibri" w:eastAsia="Calibri" w:hAnsi="Calibri"/>
          <w:color w:val="1A1A1A"/>
          <w:sz w:val="21"/>
          <w:szCs w:val="21"/>
        </w:rPr>
        <w:t xml:space="preserve">Keep the executed notebook and logs with the results; this copy has no outputs. Fix the </w:t>
      </w:r>
      <w:r>
        <w:rPr>
          <w:rFonts w:ascii="Consolas" w:cs="Consolas" w:eastAsia="Consolas" w:hAnsi="Consolas"/>
          <w:color w:val="1A1A1A"/>
          <w:sz w:val="19"/>
          <w:szCs w:val="19"/>
        </w:rPr>
        <w:t xml:space="preserve">_results_{tag}.csv</w:t>
      </w:r>
      <w:r>
        <w:rPr>
          <w:rFonts w:ascii="Calibri" w:cs="Calibri" w:eastAsia="Calibri" w:hAnsi="Calibri"/>
          <w:color w:val="1A1A1A"/>
          <w:sz w:val="21"/>
          <w:szCs w:val="21"/>
        </w:rPr>
        <w:t xml:space="preserve"> filename in </w:t>
      </w:r>
      <w:r>
        <w:rPr>
          <w:rFonts w:ascii="Consolas" w:cs="Consolas" w:eastAsia="Consolas" w:hAnsi="Consolas"/>
          <w:color w:val="1A1A1A"/>
          <w:sz w:val="19"/>
          <w:szCs w:val="19"/>
        </w:rPr>
        <w:t xml:space="preserve">save_results</w:t>
      </w:r>
      <w:r>
        <w:rPr>
          <w:rFonts w:ascii="Calibri" w:cs="Calibri" w:eastAsia="Calibri" w:hAnsi="Calibri"/>
          <w:color w:val="1A1A1A"/>
          <w:sz w:val="21"/>
          <w:szCs w:val="21"/>
        </w:rPr>
        <w:t xml:space="preserve"> so the download cell finds its file.</w:t>
      </w:r>
    </w:p>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954"/>
        <w:sz w:val="16"/>
        <w:szCs w:val="16"/>
      </w:rPr>
      <w:t xml:space="preserve">MedGemma 4B-it on BUS-BRA · page </w:t>
    </w:r>
    <w:r>
      <w:rPr>
        <w:rFonts w:ascii="Calibri" w:cs="Calibri" w:eastAsia="Calibri" w:hAnsi="Calibri"/>
        <w:color w:val="5A595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735ae2c9476cbbbe1c57b5c5847da7ca579c450.png"/><Relationship Id="rId9" Type="http://schemas.openxmlformats.org/officeDocument/2006/relationships/image" Target="media/2ea380f9bf2a7a8c5b310c0daca12cb5671d104f.png"/><Relationship Id="rId10" Type="http://schemas.openxmlformats.org/officeDocument/2006/relationships/image" Target="media/e18baaf6a2f2281ee2f5dfd8c6b298edebb27ed5.png"/><Relationship Id="rId11" Type="http://schemas.openxmlformats.org/officeDocument/2006/relationships/image" Target="media/5cfe1ba20d9379b788f5035baa6bfc1f7d3aa32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MedGemma 4B-it on BUS-BRA: Zero-Shot Results</dc:title>
  <dc:creator>Mahdi</dc:creator>
  <cp:lastModifiedBy>Un-named</cp:lastModifiedBy>
  <cp:revision>1</cp:revision>
  <dcterms:created xsi:type="dcterms:W3CDTF">2026-10-12T17:00:50.385Z</dcterms:created>
  <dcterms:modified xsi:type="dcterms:W3CDTF">2026-10-12T17:00:50.385Z</dcterms:modified>
</cp:coreProperties>
</file>

<file path=docProps/custom.xml><?xml version="1.0" encoding="utf-8"?>
<Properties xmlns="http://schemas.openxmlformats.org/officeDocument/2006/custom-properties" xmlns:vt="http://schemas.openxmlformats.org/officeDocument/2006/docPropsVTypes"/>
</file>