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D366B"/>
          <w:sz w:val="44"/>
          <w:szCs w:val="44"/>
        </w:rPr>
        <w:t xml:space="preserve">MedVLM-R1 on BUS-BRA</w:t>
      </w:r>
    </w:p>
    <w:p>
      <w:pPr>
        <w:spacing w:after="60"/>
      </w:pPr>
      <w:r>
        <w:rPr>
          <w:rFonts w:ascii="Calibri" w:cs="Calibri" w:eastAsia="Calibri" w:hAnsi="Calibri"/>
          <w:color w:val="5A5954"/>
          <w:sz w:val="26"/>
          <w:szCs w:val="26"/>
        </w:rPr>
        <w:t xml:space="preserve">Zero-shot benign vs malignant classification of breast ultrasound images (400 images)</w:t>
      </w:r>
    </w:p>
    <w:p>
      <w:pPr>
        <w:pBdr>
          <w:bottom w:val="single" w:color="C9C8C2" w:sz="6" w:space="8"/>
        </w:pBdr>
        <w:spacing w:after="200"/>
      </w:pPr>
      <w:r>
        <w:rPr>
          <w:rFonts w:ascii="Calibri" w:cs="Calibri" w:eastAsia="Calibri" w:hAnsi="Calibri"/>
          <w:color w:val="5A5954"/>
          <w:sz w:val="18"/>
          <w:szCs w:val="18"/>
        </w:rPr>
        <w:t xml:space="preserve">12 October 2026 · source files: classification_results_medvlm_r1.csv, classification_scores_medvlm_r1.csv · run notebook: BUS_BRA_Final_Qwen_MedVLM.ipynb (bus-bra-final-v2-compact)</w:t>
      </w:r>
    </w:p>
    <w:p>
      <w:pPr>
        <w:pStyle w:val="Heading1"/>
        <w:keepNext/>
        <w:spacing w:after="140" w:before="320"/>
      </w:pPr>
      <w:r>
        <w:rPr>
          <w:rFonts w:ascii="Calibri" w:cs="Calibri" w:eastAsia="Calibri" w:hAnsi="Calibri"/>
          <w:b/>
          <w:bCs/>
          <w:color w:val="0D366B"/>
          <w:sz w:val="30"/>
          <w:szCs w:val="30"/>
        </w:rPr>
        <w:t xml:space="preserve">Summary</w:t>
      </w:r>
    </w:p>
    <w:p>
      <w:pPr>
        <w:spacing w:after="120" w:line="276"/>
      </w:pPr>
      <w:r>
        <w:rPr>
          <w:rFonts w:ascii="Calibri" w:cs="Calibri" w:eastAsia="Calibri" w:hAnsi="Calibri"/>
          <w:color w:val="1A1A1A"/>
          <w:sz w:val="21"/>
          <w:szCs w:val="21"/>
        </w:rPr>
        <w:t xml:space="preserve">MedVLM-R1 classified </w:t>
      </w:r>
      <w:r>
        <w:rPr>
          <w:rFonts w:ascii="Calibri" w:cs="Calibri" w:eastAsia="Calibri" w:hAnsi="Calibri"/>
          <w:b/>
          <w:bCs/>
          <w:color w:val="1A1A1A"/>
          <w:sz w:val="21"/>
          <w:szCs w:val="21"/>
        </w:rPr>
        <w:t xml:space="preserve">200 of 400 images correctly (50.0%, 95% CI 45.1–54.9%)</w:t>
      </w:r>
      <w:r>
        <w:rPr>
          <w:rFonts w:ascii="Calibri" w:cs="Calibri" w:eastAsia="Calibri" w:hAnsi="Calibri"/>
          <w:color w:val="1A1A1A"/>
          <w:sz w:val="21"/>
          <w:szCs w:val="21"/>
        </w:rPr>
        <w:t xml:space="preserve">, which is exactly chance on this balanced sample. The reason is simple: </w:t>
      </w:r>
      <w:r>
        <w:rPr>
          <w:rFonts w:ascii="Calibri" w:cs="Calibri" w:eastAsia="Calibri" w:hAnsi="Calibri"/>
          <w:b/>
          <w:bCs/>
          <w:color w:val="1A1A1A"/>
          <w:sz w:val="21"/>
          <w:szCs w:val="21"/>
        </w:rPr>
        <w:t xml:space="preserve">the model answered “benign” for all 400 images.</w:t>
      </w:r>
    </w:p>
    <w:p>
      <w:pPr>
        <w:pStyle w:val="ListParagraph"/>
        <w:numPr>
          <w:ilvl w:val="0"/>
          <w:numId w:val="2"/>
        </w:numPr>
        <w:spacing w:after="70" w:line="270"/>
      </w:pPr>
      <w:r>
        <w:rPr>
          <w:rFonts w:ascii="Calibri" w:cs="Calibri" w:eastAsia="Calibri" w:hAnsi="Calibri"/>
          <w:b/>
          <w:bCs/>
          <w:color w:val="1A1A1A"/>
          <w:sz w:val="21"/>
          <w:szCs w:val="21"/>
        </w:rPr>
        <w:t xml:space="preserve">Sensitivity (malignant found): 0 of 200 (0%).</w:t>
      </w:r>
      <w:r>
        <w:rPr>
          <w:rFonts w:ascii="Calibri" w:cs="Calibri" w:eastAsia="Calibri" w:hAnsi="Calibri"/>
          <w:color w:val="1A1A1A"/>
          <w:sz w:val="21"/>
          <w:szCs w:val="21"/>
        </w:rPr>
        <w:t xml:space="preserve"> Every malignant lesion was called benign.</w:t>
      </w:r>
    </w:p>
    <w:p>
      <w:pPr>
        <w:pStyle w:val="ListParagraph"/>
        <w:numPr>
          <w:ilvl w:val="0"/>
          <w:numId w:val="2"/>
        </w:numPr>
        <w:spacing w:after="70" w:line="270"/>
      </w:pPr>
      <w:r>
        <w:rPr>
          <w:rFonts w:ascii="Calibri" w:cs="Calibri" w:eastAsia="Calibri" w:hAnsi="Calibri"/>
          <w:b/>
          <w:bCs/>
          <w:color w:val="1A1A1A"/>
          <w:sz w:val="21"/>
          <w:szCs w:val="21"/>
        </w:rPr>
        <w:t xml:space="preserve">Specificity (benign found): 200 of 200 (100%).</w:t>
      </w:r>
      <w:r>
        <w:rPr>
          <w:rFonts w:ascii="Calibri" w:cs="Calibri" w:eastAsia="Calibri" w:hAnsi="Calibri"/>
          <w:color w:val="1A1A1A"/>
          <w:sz w:val="21"/>
          <w:szCs w:val="21"/>
        </w:rPr>
        <w:t xml:space="preserve"> This is the only reason accuracy is not zero.</w:t>
      </w:r>
    </w:p>
    <w:p>
      <w:pPr>
        <w:pStyle w:val="ListParagraph"/>
        <w:numPr>
          <w:ilvl w:val="0"/>
          <w:numId w:val="2"/>
        </w:numPr>
        <w:spacing w:after="70" w:line="270"/>
      </w:pPr>
      <w:r>
        <w:rPr>
          <w:rFonts w:ascii="Calibri" w:cs="Calibri" w:eastAsia="Calibri" w:hAnsi="Calibri"/>
          <w:b/>
          <w:bCs/>
          <w:color w:val="1A1A1A"/>
          <w:sz w:val="21"/>
          <w:szCs w:val="21"/>
        </w:rPr>
        <w:t xml:space="preserve">No evidence of image use:</w:t>
      </w:r>
      <w:r>
        <w:rPr>
          <w:rFonts w:ascii="Calibri" w:cs="Calibri" w:eastAsia="Calibri" w:hAnsi="Calibri"/>
          <w:color w:val="1A1A1A"/>
          <w:sz w:val="21"/>
          <w:szCs w:val="21"/>
        </w:rPr>
        <w:t xml:space="preserve"> a constant answer gives the same result on any image. Accuracy is not above chance (one-sided exact binomial p = 0.52), and the Matthews correlation coefficient is 0.</w:t>
      </w:r>
    </w:p>
    <w:p>
      <w:pPr>
        <w:pStyle w:val="ListParagraph"/>
        <w:numPr>
          <w:ilvl w:val="0"/>
          <w:numId w:val="2"/>
        </w:numPr>
        <w:spacing w:after="70" w:line="270"/>
      </w:pPr>
      <w:r>
        <w:rPr>
          <w:rFonts w:ascii="Calibri" w:cs="Calibri" w:eastAsia="Calibri" w:hAnsi="Calibri"/>
          <w:b/>
          <w:bCs/>
          <w:color w:val="1A1A1A"/>
          <w:sz w:val="21"/>
          <w:szCs w:val="21"/>
        </w:rPr>
        <w:t xml:space="preserve">Not a parsing artefact:</w:t>
      </w:r>
      <w:r>
        <w:rPr>
          <w:rFonts w:ascii="Calibri" w:cs="Calibri" w:eastAsia="Calibri" w:hAnsi="Calibri"/>
          <w:color w:val="1A1A1A"/>
          <w:sz w:val="21"/>
          <w:szCs w:val="21"/>
        </w:rPr>
        <w:t xml:space="preserve"> the raw output for every row is the single word “benign” (6 characters) and no row is </w:t>
      </w:r>
      <w:r>
        <w:rPr>
          <w:rFonts w:ascii="Consolas" w:cs="Consolas" w:eastAsia="Consolas" w:hAnsi="Consolas"/>
          <w:color w:val="1A1A1A"/>
          <w:sz w:val="19"/>
          <w:szCs w:val="19"/>
        </w:rPr>
        <w:t xml:space="preserve">unparsed</w:t>
      </w:r>
      <w:r>
        <w:rPr>
          <w:rFonts w:ascii="Calibri" w:cs="Calibri" w:eastAsia="Calibri" w:hAnsi="Calibri"/>
          <w:color w:val="1A1A1A"/>
          <w:sz w:val="21"/>
          <w:szCs w:val="21"/>
        </w:rPr>
        <w:t xml:space="preserve">. The strict parser would have marked anything else as wrong, so the label comes from the model.</w:t>
      </w:r>
    </w:p>
    <w:p>
      <w:pPr>
        <w:pStyle w:val="ListParagraph"/>
        <w:numPr>
          <w:ilvl w:val="0"/>
          <w:numId w:val="2"/>
        </w:numPr>
        <w:spacing w:after="70" w:line="270"/>
      </w:pPr>
      <w:r>
        <w:rPr>
          <w:rFonts w:ascii="Calibri" w:cs="Calibri" w:eastAsia="Calibri" w:hAnsi="Calibri"/>
          <w:b/>
          <w:bCs/>
          <w:color w:val="1A1A1A"/>
          <w:sz w:val="21"/>
          <w:szCs w:val="21"/>
        </w:rPr>
        <w:t xml:space="preserve">By image-ID suffix</w:t>
      </w:r>
      <w:r>
        <w:rPr>
          <w:rFonts w:ascii="Calibri" w:cs="Calibri" w:eastAsia="Calibri" w:hAnsi="Calibri"/>
          <w:color w:val="1A1A1A"/>
          <w:sz w:val="21"/>
          <w:szCs w:val="21"/>
        </w:rPr>
        <w:t xml:space="preserve"> (-l, -r, -s): accuracy is 52%, 47% and 51%, and the share of “malignant” answers is 0% in each. The differences only reflect the benign/malignant mix of each suffix.</w:t>
      </w:r>
    </w:p>
    <w:p>
      <w:pPr>
        <w:spacing w:after="80" w:line="276"/>
      </w:pPr>
      <w:r>
        <w:rPr>
          <w:rFonts w:ascii="Calibri" w:cs="Calibri" w:eastAsia="Calibri" w:hAnsi="Calibri"/>
          <w:color w:val="1A1A1A"/>
          <w:sz w:val="21"/>
          <w:szCs w:val="21"/>
        </w:rPr>
        <w:t xml:space="preserve">This is a clinically unusable outcome (every cancer missed), but it is a statement about this model, prompt and setting, not about the dataset. The answers are </w:t>
      </w:r>
      <w:r>
        <w:rPr>
          <w:rFonts w:ascii="Calibri" w:cs="Calibri" w:eastAsia="Calibri" w:hAnsi="Calibri"/>
          <w:b/>
          <w:bCs/>
          <w:color w:val="1A1A1A"/>
          <w:sz w:val="21"/>
          <w:szCs w:val="21"/>
        </w:rPr>
        <w:t xml:space="preserve">identical to Qwen2-VL-2B-Instruct on all 400 images</w:t>
      </w:r>
      <w:r>
        <w:rPr>
          <w:rFonts w:ascii="Calibri" w:cs="Calibri" w:eastAsia="Calibri" w:hAnsi="Calibri"/>
          <w:color w:val="1A1A1A"/>
          <w:sz w:val="21"/>
          <w:szCs w:val="21"/>
        </w:rPr>
        <w:t xml:space="preserve"> (Section 4).</w:t>
      </w:r>
    </w:p>
    <w:p>
      <w:pPr>
        <w:pStyle w:val="Heading1"/>
        <w:keepNext/>
        <w:spacing w:after="140" w:before="320"/>
      </w:pPr>
      <w:r>
        <w:rPr>
          <w:rFonts w:ascii="Calibri" w:cs="Calibri" w:eastAsia="Calibri" w:hAnsi="Calibri"/>
          <w:b/>
          <w:bCs/>
          <w:color w:val="0D366B"/>
          <w:sz w:val="30"/>
          <w:szCs w:val="30"/>
        </w:rPr>
        <w:t xml:space="preserve">1. Experimental setup</w:t>
      </w:r>
    </w:p>
    <w:p>
      <w:pPr>
        <w:keepNext/>
        <w:spacing w:after="80" w:before="160"/>
      </w:pPr>
      <w:r>
        <w:rPr>
          <w:rFonts w:ascii="Calibri" w:cs="Calibri" w:eastAsia="Calibri" w:hAnsi="Calibri"/>
          <w:b/>
          <w:bCs/>
          <w:color w:val="1A1A1A"/>
          <w:sz w:val="19"/>
          <w:szCs w:val="19"/>
        </w:rPr>
        <w:t xml:space="preserve">Table 1. Settings (from the run notebook)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left"/>
            </w:pPr>
            <w:r>
              <w:rPr>
                <w:rFonts w:ascii="Calibri" w:cs="Calibri" w:eastAsia="Calibri" w:hAnsi="Calibri"/>
                <w:b/>
                <w:bCs/>
                <w:color w:val="1A1A1A"/>
                <w:sz w:val="19"/>
                <w:szCs w:val="19"/>
              </w:rPr>
              <w:t xml:space="preserve">Item</w:t>
            </w:r>
          </w:p>
        </w:tc>
        <w:tc>
          <w:tcPr>
            <w:tcW w:type="dxa" w:w="716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left"/>
            </w:pPr>
            <w:r>
              <w:rPr>
                <w:rFonts w:ascii="Calibri" w:cs="Calibri" w:eastAsia="Calibri" w:hAnsi="Calibri"/>
                <w:b/>
                <w:bCs/>
                <w:color w:val="1A1A1A"/>
                <w:sz w:val="19"/>
                <w:szCs w:val="19"/>
              </w:rPr>
              <w:t xml:space="preserve">Setting</w:t>
            </w:r>
          </w:p>
        </w:tc>
      </w:tr>
      <w:tr>
        <w:trPr>
          <w:cantSplit/>
        </w:trPr>
        <w:tc>
          <w:tcPr>
            <w:tcW w:type="dxa" w:w="2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Model</w:t>
            </w:r>
          </w:p>
        </w:tc>
        <w:tc>
          <w:tcPr>
            <w:tcW w:type="dxa" w:w="71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JZPeterPan/MedVLM-R1, revision </w:t>
            </w:r>
            <w:r>
              <w:rPr>
                <w:rFonts w:ascii="Consolas" w:cs="Consolas" w:eastAsia="Consolas" w:hAnsi="Consolas"/>
                <w:color w:val="1A1A1A"/>
                <w:sz w:val="17"/>
                <w:szCs w:val="17"/>
              </w:rPr>
              <w:t xml:space="preserve">d256f2cf…</w:t>
            </w:r>
            <w:r>
              <w:rPr>
                <w:rFonts w:ascii="Calibri" w:cs="Calibri" w:eastAsia="Calibri" w:hAnsi="Calibri"/>
                <w:color w:val="1A1A1A"/>
                <w:sz w:val="19"/>
                <w:szCs w:val="19"/>
              </w:rPr>
              <w:t xml:space="preserve">, zero-shot (no further fine-tuning, no in-context examples). Loaded as a Qwen2-VL model, the same way as Qwen2-VL-2B-Instruct in this notebook.</w:t>
            </w:r>
          </w:p>
        </w:tc>
      </w:tr>
      <w:tr>
        <w:trPr>
          <w:cantSplit/>
        </w:trPr>
        <w:tc>
          <w:tcPr>
            <w:tcW w:type="dxa" w:w="2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Dataset</w:t>
            </w:r>
          </w:p>
        </w:tc>
        <w:tc>
          <w:tcPr>
            <w:tcW w:type="dxa" w:w="71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BUS-BRA, breast ultrasound images with benign / malignant labels (1,875 images in the metadata file)</w:t>
            </w:r>
          </w:p>
        </w:tc>
      </w:tr>
      <w:tr>
        <w:trPr>
          <w:cantSplit/>
        </w:trPr>
        <w:tc>
          <w:tcPr>
            <w:tcW w:type="dxa" w:w="2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Sample</w:t>
            </w:r>
          </w:p>
        </w:tc>
        <w:tc>
          <w:tcPr>
            <w:tcW w:type="dxa" w:w="71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400 frozen images: 200 benign + 200 malignant, one image per source Case (400 distinct Cases). Selection used seed 42; the 20 pilot Cases and 13 previously flagged Cases are excluded. Patient identity is not independently verified. The sample is protected by a SHA-256 manifest check.</w:t>
            </w:r>
          </w:p>
        </w:tc>
      </w:tr>
      <w:tr>
        <w:trPr>
          <w:cantSplit/>
        </w:trPr>
        <w:tc>
          <w:tcPr>
            <w:tcW w:type="dxa" w:w="2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Image IDs</w:t>
            </w:r>
          </w:p>
        </w:tc>
        <w:tc>
          <w:tcPr>
            <w:tcW w:type="dxa" w:w="71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onsolas" w:cs="Consolas" w:eastAsia="Consolas" w:hAnsi="Consolas"/>
                <w:color w:val="1A1A1A"/>
                <w:sz w:val="17"/>
                <w:szCs w:val="17"/>
              </w:rPr>
              <w:t xml:space="preserve">bus_XXXX-l</w:t>
            </w:r>
            <w:r>
              <w:rPr>
                <w:rFonts w:ascii="Calibri" w:cs="Calibri" w:eastAsia="Calibri" w:hAnsi="Calibri"/>
                <w:color w:val="1A1A1A"/>
                <w:sz w:val="19"/>
                <w:szCs w:val="19"/>
              </w:rPr>
              <w:t xml:space="preserve">, </w:t>
            </w:r>
            <w:r>
              <w:rPr>
                <w:rFonts w:ascii="Consolas" w:cs="Consolas" w:eastAsia="Consolas" w:hAnsi="Consolas"/>
                <w:color w:val="1A1A1A"/>
                <w:sz w:val="17"/>
                <w:szCs w:val="17"/>
              </w:rPr>
              <w:t xml:space="preserve">-r</w:t>
            </w:r>
            <w:r>
              <w:rPr>
                <w:rFonts w:ascii="Calibri" w:cs="Calibri" w:eastAsia="Calibri" w:hAnsi="Calibri"/>
                <w:color w:val="1A1A1A"/>
                <w:sz w:val="19"/>
                <w:szCs w:val="19"/>
              </w:rPr>
              <w:t xml:space="preserve"> or </w:t>
            </w:r>
            <w:r>
              <w:rPr>
                <w:rFonts w:ascii="Consolas" w:cs="Consolas" w:eastAsia="Consolas" w:hAnsi="Consolas"/>
                <w:color w:val="1A1A1A"/>
                <w:sz w:val="17"/>
                <w:szCs w:val="17"/>
              </w:rPr>
              <w:t xml:space="preserve">-s</w:t>
            </w:r>
            <w:r>
              <w:rPr>
                <w:rFonts w:ascii="Calibri" w:cs="Calibri" w:eastAsia="Calibri" w:hAnsi="Calibri"/>
                <w:color w:val="1A1A1A"/>
                <w:sz w:val="19"/>
                <w:szCs w:val="19"/>
              </w:rPr>
              <w:t xml:space="preserve"> (166, 151 and 83 images)</w:t>
            </w:r>
          </w:p>
        </w:tc>
      </w:tr>
      <w:tr>
        <w:trPr>
          <w:cantSplit/>
        </w:trPr>
        <w:tc>
          <w:tcPr>
            <w:tcW w:type="dxa" w:w="2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Task</w:t>
            </w:r>
          </w:p>
        </w:tc>
        <w:tc>
          <w:tcPr>
            <w:tcW w:type="dxa" w:w="71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Single-label classification: benign or malignant</w:t>
            </w:r>
          </w:p>
        </w:tc>
      </w:tr>
      <w:tr>
        <w:trPr>
          <w:cantSplit/>
        </w:trPr>
        <w:tc>
          <w:tcPr>
            <w:tcW w:type="dxa" w:w="2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Input</w:t>
            </w:r>
          </w:p>
        </w:tc>
        <w:tc>
          <w:tcPr>
            <w:tcW w:type="dxa" w:w="71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Only the original image and the fixed prompt; no labels or metadata reach the model</w:t>
            </w:r>
          </w:p>
        </w:tc>
      </w:tr>
      <w:tr>
        <w:trPr>
          <w:cantSplit/>
        </w:trPr>
        <w:tc>
          <w:tcPr>
            <w:tcW w:type="dxa" w:w="2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Prompt</w:t>
            </w:r>
          </w:p>
        </w:tc>
        <w:tc>
          <w:tcPr>
            <w:tcW w:type="dxa" w:w="71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“You are a medical assistant. Examine this breast ultrasound image. Classify the lesion as exactly ONE of the following: - benign: non-cancerous lesion - malignant: cancerous lesion. Respond with ONLY the label: benign or malignant.”</w:t>
            </w:r>
          </w:p>
        </w:tc>
      </w:tr>
      <w:tr>
        <w:trPr>
          <w:cantSplit/>
        </w:trPr>
        <w:tc>
          <w:tcPr>
            <w:tcW w:type="dxa" w:w="2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Decoding</w:t>
            </w:r>
          </w:p>
        </w:tc>
        <w:tc>
          <w:tcPr>
            <w:tcW w:type="dxa" w:w="71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Greedy (</w:t>
            </w:r>
            <w:r>
              <w:rPr>
                <w:rFonts w:ascii="Consolas" w:cs="Consolas" w:eastAsia="Consolas" w:hAnsi="Consolas"/>
                <w:color w:val="1A1A1A"/>
                <w:sz w:val="17"/>
                <w:szCs w:val="17"/>
              </w:rPr>
              <w:t xml:space="preserve">do_sample=False</w:t>
            </w:r>
            <w:r>
              <w:rPr>
                <w:rFonts w:ascii="Calibri" w:cs="Calibri" w:eastAsia="Calibri" w:hAnsi="Calibri"/>
                <w:color w:val="1A1A1A"/>
                <w:sz w:val="19"/>
                <w:szCs w:val="19"/>
              </w:rPr>
              <w:t xml:space="preserve">, one beam), at most 32 new tokens, batch size 1, explicit generation settings checked at load time</w:t>
            </w:r>
          </w:p>
        </w:tc>
      </w:tr>
      <w:tr>
        <w:trPr>
          <w:cantSplit/>
        </w:trPr>
        <w:tc>
          <w:tcPr>
            <w:tcW w:type="dxa" w:w="2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Precision / hardware</w:t>
            </w:r>
          </w:p>
        </w:tc>
        <w:tc>
          <w:tcPr>
            <w:tcW w:type="dxa" w:w="71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bf16 weights, SDPA attention, </w:t>
            </w:r>
            <w:r>
              <w:rPr>
                <w:rFonts w:ascii="Consolas" w:cs="Consolas" w:eastAsia="Consolas" w:hAnsi="Consolas"/>
                <w:color w:val="1A1A1A"/>
                <w:sz w:val="17"/>
                <w:szCs w:val="17"/>
              </w:rPr>
              <w:t xml:space="preserve">device_map="auto"</w:t>
            </w:r>
            <w:r>
              <w:rPr>
                <w:rFonts w:ascii="Calibri" w:cs="Calibri" w:eastAsia="Calibri" w:hAnsi="Calibri"/>
                <w:color w:val="1A1A1A"/>
                <w:sz w:val="19"/>
                <w:szCs w:val="19"/>
              </w:rPr>
              <w:t xml:space="preserve">, no CPU or disk offloading. Run on Kaggle T4 x2, where bf16 is emulated (not native). The exact GPU used is not stored in the output files.</w:t>
            </w:r>
          </w:p>
        </w:tc>
      </w:tr>
      <w:tr>
        <w:trPr>
          <w:cantSplit/>
        </w:trPr>
        <w:tc>
          <w:tcPr>
            <w:tcW w:type="dxa" w:w="2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Answer parsing</w:t>
            </w:r>
          </w:p>
        </w:tc>
        <w:tc>
          <w:tcPr>
            <w:tcW w:type="dxa" w:w="71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Strict: the output must be exactly </w:t>
            </w:r>
            <w:r>
              <w:rPr>
                <w:rFonts w:ascii="Consolas" w:cs="Consolas" w:eastAsia="Consolas" w:hAnsi="Consolas"/>
                <w:color w:val="1A1A1A"/>
                <w:sz w:val="17"/>
                <w:szCs w:val="17"/>
              </w:rPr>
              <w:t xml:space="preserve">benign</w:t>
            </w:r>
            <w:r>
              <w:rPr>
                <w:rFonts w:ascii="Calibri" w:cs="Calibri" w:eastAsia="Calibri" w:hAnsi="Calibri"/>
                <w:color w:val="1A1A1A"/>
                <w:sz w:val="19"/>
                <w:szCs w:val="19"/>
              </w:rPr>
              <w:t xml:space="preserve"> or </w:t>
            </w:r>
            <w:r>
              <w:rPr>
                <w:rFonts w:ascii="Consolas" w:cs="Consolas" w:eastAsia="Consolas" w:hAnsi="Consolas"/>
                <w:color w:val="1A1A1A"/>
                <w:sz w:val="17"/>
                <w:szCs w:val="17"/>
              </w:rPr>
              <w:t xml:space="preserve">malignant</w:t>
            </w:r>
            <w:r>
              <w:rPr>
                <w:rFonts w:ascii="Calibri" w:cs="Calibri" w:eastAsia="Calibri" w:hAnsi="Calibri"/>
                <w:color w:val="1A1A1A"/>
                <w:sz w:val="19"/>
                <w:szCs w:val="19"/>
              </w:rPr>
              <w:t xml:space="preserve"> (optionally after </w:t>
            </w:r>
            <w:r>
              <w:rPr>
                <w:rFonts w:ascii="Consolas" w:cs="Consolas" w:eastAsia="Consolas" w:hAnsi="Consolas"/>
                <w:color w:val="1A1A1A"/>
                <w:sz w:val="17"/>
                <w:szCs w:val="17"/>
              </w:rPr>
              <w:t xml:space="preserve">Final answer:</w:t>
            </w:r>
            <w:r>
              <w:rPr>
                <w:rFonts w:ascii="Calibri" w:cs="Calibri" w:eastAsia="Calibri" w:hAnsi="Calibri"/>
                <w:color w:val="1A1A1A"/>
                <w:sz w:val="19"/>
                <w:szCs w:val="19"/>
              </w:rPr>
              <w:t xml:space="preserve">, inside </w:t>
            </w:r>
            <w:r>
              <w:rPr>
                <w:rFonts w:ascii="Consolas" w:cs="Consolas" w:eastAsia="Consolas" w:hAnsi="Consolas"/>
                <w:color w:val="1A1A1A"/>
                <w:sz w:val="17"/>
                <w:szCs w:val="17"/>
              </w:rPr>
              <w:t xml:space="preserve">&lt;answer&gt;…&lt;/answer&gt;</w:t>
            </w:r>
            <w:r>
              <w:rPr>
                <w:rFonts w:ascii="Calibri" w:cs="Calibri" w:eastAsia="Calibri" w:hAnsi="Calibri"/>
                <w:color w:val="1A1A1A"/>
                <w:sz w:val="19"/>
                <w:szCs w:val="19"/>
              </w:rPr>
              <w:t xml:space="preserve">, or after one </w:t>
            </w:r>
            <w:r>
              <w:rPr>
                <w:rFonts w:ascii="Consolas" w:cs="Consolas" w:eastAsia="Consolas" w:hAnsi="Consolas"/>
                <w:color w:val="1A1A1A"/>
                <w:sz w:val="17"/>
                <w:szCs w:val="17"/>
              </w:rPr>
              <w:t xml:space="preserve">&lt;think&gt;…&lt;/think&gt;</w:t>
            </w:r>
            <w:r>
              <w:rPr>
                <w:rFonts w:ascii="Calibri" w:cs="Calibri" w:eastAsia="Calibri" w:hAnsi="Calibri"/>
                <w:color w:val="1A1A1A"/>
                <w:sz w:val="19"/>
                <w:szCs w:val="19"/>
              </w:rPr>
              <w:t xml:space="preserve"> block). Anything else is </w:t>
            </w:r>
            <w:r>
              <w:rPr>
                <w:rFonts w:ascii="Consolas" w:cs="Consolas" w:eastAsia="Consolas" w:hAnsi="Consolas"/>
                <w:color w:val="1A1A1A"/>
                <w:sz w:val="17"/>
                <w:szCs w:val="17"/>
              </w:rPr>
              <w:t xml:space="preserve">unparsed</w:t>
            </w:r>
            <w:r>
              <w:rPr>
                <w:rFonts w:ascii="Calibri" w:cs="Calibri" w:eastAsia="Calibri" w:hAnsi="Calibri"/>
                <w:color w:val="1A1A1A"/>
                <w:sz w:val="19"/>
                <w:szCs w:val="19"/>
              </w:rPr>
              <w:t xml:space="preserve"> and counts as wrong. A guard also marks a result </w:t>
            </w:r>
            <w:r>
              <w:rPr>
                <w:rFonts w:ascii="Consolas" w:cs="Consolas" w:eastAsia="Consolas" w:hAnsi="Consolas"/>
                <w:color w:val="1A1A1A"/>
                <w:sz w:val="17"/>
                <w:szCs w:val="17"/>
              </w:rPr>
              <w:t xml:space="preserve">unparsed</w:t>
            </w:r>
            <w:r>
              <w:rPr>
                <w:rFonts w:ascii="Calibri" w:cs="Calibri" w:eastAsia="Calibri" w:hAnsi="Calibri"/>
                <w:color w:val="1A1A1A"/>
                <w:sz w:val="19"/>
                <w:szCs w:val="19"/>
              </w:rPr>
              <w:t xml:space="preserve"> if the model produced invalid scores (NaN or infinity).</w:t>
            </w:r>
          </w:p>
        </w:tc>
      </w:tr>
      <w:tr>
        <w:trPr>
          <w:cantSplit/>
        </w:trPr>
        <w:tc>
          <w:tcPr>
            <w:tcW w:type="dxa" w:w="2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left"/>
            </w:pPr>
            <w:r>
              <w:rPr>
                <w:rFonts w:ascii="Calibri" w:cs="Calibri" w:eastAsia="Calibri" w:hAnsi="Calibri"/>
                <w:color w:val="1A1A1A"/>
                <w:sz w:val="19"/>
                <w:szCs w:val="19"/>
              </w:rPr>
              <w:t xml:space="preserve">Scoring</w:t>
            </w:r>
          </w:p>
        </w:tc>
        <w:tc>
          <w:tcPr>
            <w:tcW w:type="dxa" w:w="71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left"/>
            </w:pPr>
            <w:r>
              <w:rPr>
                <w:rFonts w:ascii="Calibri" w:cs="Calibri" w:eastAsia="Calibri" w:hAnsi="Calibri"/>
                <w:color w:val="1A1A1A"/>
                <w:sz w:val="19"/>
                <w:szCs w:val="19"/>
              </w:rPr>
              <w:t xml:space="preserve">Exact match with the reference label. 95% Wilson intervals; one-sided exact binomial test against 50%.</w:t>
            </w:r>
          </w:p>
        </w:tc>
      </w:tr>
    </w:tbl>
    <w:p>
      <w:pPr>
        <w:spacing w:after="100"/>
      </w:pPr>
    </w:p>
    <w:p>
      <w:pPr>
        <w:spacing w:after="60" w:line="276"/>
      </w:pPr>
      <w:r>
        <w:rPr>
          <w:rFonts w:ascii="Calibri" w:cs="Calibri" w:eastAsia="Calibri" w:hAnsi="Calibri"/>
          <w:color w:val="1A1A1A"/>
          <w:sz w:val="19"/>
          <w:szCs w:val="19"/>
        </w:rPr>
        <w:t xml:space="preserve">Checks: the 400 image IDs in the results file are identical, and in the same order, to the frozen ID list in the notebook; the question column equals the notebook prompt; the scores file reports </w:t>
      </w:r>
      <w:r>
        <w:rPr>
          <w:rFonts w:ascii="Consolas" w:cs="Consolas" w:eastAsia="Consolas" w:hAnsi="Consolas"/>
          <w:color w:val="1A1A1A"/>
          <w:sz w:val="17"/>
          <w:szCs w:val="17"/>
        </w:rPr>
        <w:t xml:space="preserve">lesion_classification</w:t>
      </w:r>
      <w:r>
        <w:rPr>
          <w:rFonts w:ascii="Calibri" w:cs="Calibri" w:eastAsia="Calibri" w:hAnsi="Calibri"/>
          <w:color w:val="1A1A1A"/>
          <w:sz w:val="19"/>
          <w:szCs w:val="19"/>
        </w:rPr>
        <w:t xml:space="preserve"> with 200 correct out of 400 (0.5), matching the per-row results. The notebook as supplied has no saved cell outputs, so no execution log (token counts, stop reasons, GPU) was available to check.</w:t>
      </w:r>
    </w:p>
    <w:p>
      <w:pPr>
        <w:pStyle w:val="Heading1"/>
        <w:keepNext/>
        <w:spacing w:after="140" w:before="320"/>
      </w:pPr>
      <w:r>
        <w:rPr>
          <w:rFonts w:ascii="Calibri" w:cs="Calibri" w:eastAsia="Calibri" w:hAnsi="Calibri"/>
          <w:b/>
          <w:bCs/>
          <w:color w:val="0D366B"/>
          <w:sz w:val="30"/>
          <w:szCs w:val="30"/>
        </w:rPr>
        <w:t xml:space="preserve">2. Results</w:t>
      </w:r>
    </w:p>
    <w:p>
      <w:pPr>
        <w:keepNext/>
        <w:spacing w:after="80" w:before="160"/>
      </w:pPr>
      <w:r>
        <w:rPr>
          <w:rFonts w:ascii="Calibri" w:cs="Calibri" w:eastAsia="Calibri" w:hAnsi="Calibri"/>
          <w:b/>
          <w:bCs/>
          <w:color w:val="1A1A1A"/>
          <w:sz w:val="19"/>
          <w:szCs w:val="19"/>
        </w:rPr>
        <w:t xml:space="preserve">Table 2. Summary metrics (positive class = malignant)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rPr>
          <w:cantSplit/>
          <w:tblHeader/>
        </w:trPr>
        <w:tc>
          <w:tcPr>
            <w:tcW w:type="dxa" w:w="42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left"/>
            </w:pPr>
            <w:r>
              <w:rPr>
                <w:rFonts w:ascii="Calibri" w:cs="Calibri" w:eastAsia="Calibri" w:hAnsi="Calibri"/>
                <w:b/>
                <w:bCs/>
                <w:color w:val="1A1A1A"/>
                <w:sz w:val="19"/>
                <w:szCs w:val="19"/>
              </w:rPr>
              <w:t xml:space="preserve">Metric</w:t>
            </w:r>
          </w:p>
        </w:tc>
        <w:tc>
          <w:tcPr>
            <w:tcW w:type="dxa" w:w="24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right"/>
            </w:pPr>
            <w:r>
              <w:rPr>
                <w:rFonts w:ascii="Calibri" w:cs="Calibri" w:eastAsia="Calibri" w:hAnsi="Calibri"/>
                <w:b/>
                <w:bCs/>
                <w:color w:val="1A1A1A"/>
                <w:sz w:val="19"/>
                <w:szCs w:val="19"/>
              </w:rPr>
              <w:t xml:space="preserve">Value</w:t>
            </w:r>
          </w:p>
        </w:tc>
        <w:tc>
          <w:tcPr>
            <w:tcW w:type="dxa" w:w="276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left"/>
            </w:pPr>
            <w:r>
              <w:rPr>
                <w:rFonts w:ascii="Calibri" w:cs="Calibri" w:eastAsia="Calibri" w:hAnsi="Calibri"/>
                <w:b/>
                <w:bCs/>
                <w:color w:val="1A1A1A"/>
                <w:sz w:val="19"/>
                <w:szCs w:val="19"/>
              </w:rPr>
              <w:t xml:space="preserve">Note</w:t>
            </w:r>
          </w:p>
        </w:tc>
      </w:tr>
      <w:tr>
        <w:trPr>
          <w:cantSplit/>
        </w:trPr>
        <w:tc>
          <w:tcPr>
            <w:tcW w:type="dxa" w:w="4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Accuracy</w:t>
            </w:r>
          </w:p>
        </w:tc>
        <w:tc>
          <w:tcPr>
            <w:tcW w:type="dxa" w:w="24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50.0% (200 / 400)</w:t>
            </w:r>
          </w:p>
        </w:tc>
        <w:tc>
          <w:tcPr>
            <w:tcW w:type="dxa" w:w="27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95% CI 45.1–54.9%</w:t>
            </w:r>
          </w:p>
        </w:tc>
      </w:tr>
      <w:tr>
        <w:trPr>
          <w:cantSplit/>
        </w:trPr>
        <w:tc>
          <w:tcPr>
            <w:tcW w:type="dxa" w:w="4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p-value vs 50% chance (one-sided)</w:t>
            </w:r>
          </w:p>
        </w:tc>
        <w:tc>
          <w:tcPr>
            <w:tcW w:type="dxa" w:w="24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0.52</w:t>
            </w:r>
          </w:p>
        </w:tc>
        <w:tc>
          <w:tcPr>
            <w:tcW w:type="dxa" w:w="27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not above chance</w:t>
            </w:r>
          </w:p>
        </w:tc>
      </w:tr>
      <w:tr>
        <w:trPr>
          <w:cantSplit/>
        </w:trPr>
        <w:tc>
          <w:tcPr>
            <w:tcW w:type="dxa" w:w="4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Sensitivity (recall of malignant)</w:t>
            </w:r>
          </w:p>
        </w:tc>
        <w:tc>
          <w:tcPr>
            <w:tcW w:type="dxa" w:w="24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0.0% (0 / 200)</w:t>
            </w:r>
          </w:p>
        </w:tc>
        <w:tc>
          <w:tcPr>
            <w:tcW w:type="dxa" w:w="27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95% CI 0.0–1.9%</w:t>
            </w:r>
          </w:p>
        </w:tc>
      </w:tr>
      <w:tr>
        <w:trPr>
          <w:cantSplit/>
        </w:trPr>
        <w:tc>
          <w:tcPr>
            <w:tcW w:type="dxa" w:w="4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Specificity (recall of benign)</w:t>
            </w:r>
          </w:p>
        </w:tc>
        <w:tc>
          <w:tcPr>
            <w:tcW w:type="dxa" w:w="24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100% (200 / 200)</w:t>
            </w:r>
          </w:p>
        </w:tc>
        <w:tc>
          <w:tcPr>
            <w:tcW w:type="dxa" w:w="27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95% CI 98.1–100%</w:t>
            </w:r>
          </w:p>
        </w:tc>
      </w:tr>
      <w:tr>
        <w:trPr>
          <w:cantSplit/>
        </w:trPr>
        <w:tc>
          <w:tcPr>
            <w:tcW w:type="dxa" w:w="4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Balanced accuracy</w:t>
            </w:r>
          </w:p>
        </w:tc>
        <w:tc>
          <w:tcPr>
            <w:tcW w:type="dxa" w:w="24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50.0%</w:t>
            </w:r>
          </w:p>
        </w:tc>
        <w:tc>
          <w:tcPr>
            <w:tcW w:type="dxa" w:w="27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equals accuracy: balanced sample</w:t>
            </w:r>
          </w:p>
        </w:tc>
      </w:tr>
      <w:tr>
        <w:trPr>
          <w:cantSplit/>
        </w:trPr>
        <w:tc>
          <w:tcPr>
            <w:tcW w:type="dxa" w:w="4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Precision of “malignant”</w:t>
            </w:r>
          </w:p>
        </w:tc>
        <w:tc>
          <w:tcPr>
            <w:tcW w:type="dxa" w:w="24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undefined</w:t>
            </w:r>
          </w:p>
        </w:tc>
        <w:tc>
          <w:tcPr>
            <w:tcW w:type="dxa" w:w="27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no image was called malignant</w:t>
            </w:r>
          </w:p>
        </w:tc>
      </w:tr>
      <w:tr>
        <w:trPr>
          <w:cantSplit/>
        </w:trPr>
        <w:tc>
          <w:tcPr>
            <w:tcW w:type="dxa" w:w="4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F1 for malignant</w:t>
            </w:r>
          </w:p>
        </w:tc>
        <w:tc>
          <w:tcPr>
            <w:tcW w:type="dxa" w:w="24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0.00</w:t>
            </w:r>
          </w:p>
        </w:tc>
        <w:tc>
          <w:tcPr>
            <w:tcW w:type="dxa" w:w="27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p>
        </w:tc>
      </w:tr>
      <w:tr>
        <w:trPr>
          <w:cantSplit/>
        </w:trPr>
        <w:tc>
          <w:tcPr>
            <w:tcW w:type="dxa" w:w="4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Matthews correlation coefficient</w:t>
            </w:r>
          </w:p>
        </w:tc>
        <w:tc>
          <w:tcPr>
            <w:tcW w:type="dxa" w:w="24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0.00</w:t>
            </w:r>
          </w:p>
        </w:tc>
        <w:tc>
          <w:tcPr>
            <w:tcW w:type="dxa" w:w="27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no association with the labels</w:t>
            </w:r>
          </w:p>
        </w:tc>
      </w:tr>
      <w:tr>
        <w:trPr>
          <w:cantSplit/>
        </w:trPr>
        <w:tc>
          <w:tcPr>
            <w:tcW w:type="dxa" w:w="4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Share of answers that are “malignant”</w:t>
            </w:r>
          </w:p>
        </w:tc>
        <w:tc>
          <w:tcPr>
            <w:tcW w:type="dxa" w:w="24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0.0% (0 / 400)</w:t>
            </w:r>
          </w:p>
        </w:tc>
        <w:tc>
          <w:tcPr>
            <w:tcW w:type="dxa" w:w="27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vs 50% true</w:t>
            </w:r>
          </w:p>
        </w:tc>
      </w:tr>
      <w:tr>
        <w:trPr>
          <w:cantSplit/>
        </w:trPr>
        <w:tc>
          <w:tcPr>
            <w:tcW w:type="dxa" w:w="4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left"/>
            </w:pPr>
            <w:r>
              <w:rPr>
                <w:rFonts w:ascii="Calibri" w:cs="Calibri" w:eastAsia="Calibri" w:hAnsi="Calibri"/>
                <w:color w:val="1A1A1A"/>
                <w:sz w:val="19"/>
                <w:szCs w:val="19"/>
              </w:rPr>
              <w:t xml:space="preserve">Unparsed answers</w:t>
            </w:r>
          </w:p>
        </w:tc>
        <w:tc>
          <w:tcPr>
            <w:tcW w:type="dxa" w:w="24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right"/>
            </w:pPr>
            <w:r>
              <w:rPr>
                <w:rFonts w:ascii="Calibri" w:cs="Calibri" w:eastAsia="Calibri" w:hAnsi="Calibri"/>
                <w:color w:val="1A1A1A"/>
                <w:sz w:val="19"/>
                <w:szCs w:val="19"/>
              </w:rPr>
              <w:t xml:space="preserve">0</w:t>
            </w:r>
          </w:p>
        </w:tc>
        <w:tc>
          <w:tcPr>
            <w:tcW w:type="dxa" w:w="27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left"/>
            </w:pPr>
          </w:p>
        </w:tc>
      </w:tr>
    </w:tbl>
    <w:p>
      <w:pPr>
        <w:keepNext/>
        <w:spacing w:after="40" w:before="120"/>
        <w:jc w:val="center"/>
      </w:pPr>
      <w:r>
        <w:drawing>
          <wp:inline distT="0" distB="0" distL="0" distR="0">
            <wp:extent cx="4762500" cy="2124075"/>
            <wp:effectExtent t="0" r="0" b="0" l="0"/>
            <wp:docPr id="1" name="fig1_accuracy_and_recall.png" descr="Figure 1. Accuracy and per-class recall with 95% Wilson intervals. The dashed line is chance." title="Figure 1. Accuracy and per-class recall with 95% Wilson intervals. The dashed line is ch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124075"/>
                    </a:xfrm>
                    <a:prstGeom prst="rect">
                      <a:avLst/>
                    </a:prstGeom>
                  </pic:spPr>
                </pic:pic>
              </a:graphicData>
            </a:graphic>
          </wp:inline>
        </w:drawing>
      </w:r>
    </w:p>
    <w:p>
      <w:pPr>
        <w:spacing w:after="200" w:before="60"/>
      </w:pPr>
      <w:r>
        <w:rPr>
          <w:rFonts w:ascii="Calibri" w:cs="Calibri" w:eastAsia="Calibri" w:hAnsi="Calibri"/>
          <w:i w:val="false"/>
          <w:iCs w:val="false"/>
          <w:color w:val="5A5954"/>
          <w:sz w:val="18"/>
          <w:szCs w:val="18"/>
        </w:rPr>
        <w:t xml:space="preserve">Figure 1. Accuracy and per-class recall with 95% Wilson intervals. The dashed line is chance.</w:t>
      </w:r>
    </w:p>
    <w:p>
      <w:pPr>
        <w:keepNext/>
        <w:spacing w:after="40" w:before="120"/>
        <w:jc w:val="center"/>
      </w:pPr>
      <w:r>
        <w:drawing>
          <wp:inline distT="0" distB="0" distL="0" distR="0">
            <wp:extent cx="3143250" cy="2390775"/>
            <wp:effectExtent t="0" r="0" b="0" l="0"/>
            <wp:docPr id="1" name="fig2_confusion.png" descr="Figure 2. Confusion matrix. Each cell shows the count and the percentage of the true class." title="Figure 2. Confusion matrix. Each cell shows the count and the percentage of the true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2390775"/>
                    </a:xfrm>
                    <a:prstGeom prst="rect">
                      <a:avLst/>
                    </a:prstGeom>
                  </pic:spPr>
                </pic:pic>
              </a:graphicData>
            </a:graphic>
          </wp:inline>
        </w:drawing>
      </w:r>
    </w:p>
    <w:p>
      <w:pPr>
        <w:spacing w:after="200" w:before="60"/>
      </w:pPr>
      <w:r>
        <w:rPr>
          <w:rFonts w:ascii="Calibri" w:cs="Calibri" w:eastAsia="Calibri" w:hAnsi="Calibri"/>
          <w:i w:val="false"/>
          <w:iCs w:val="false"/>
          <w:color w:val="5A5954"/>
          <w:sz w:val="18"/>
          <w:szCs w:val="18"/>
        </w:rPr>
        <w:t xml:space="preserve">Figure 2. Confusion matrix. Each cell shows the count and the percentage of the true class.</w:t>
      </w:r>
    </w:p>
    <w:p>
      <w:pPr>
        <w:keepNext/>
        <w:spacing w:after="80" w:before="160"/>
      </w:pPr>
      <w:r>
        <w:rPr>
          <w:rFonts w:ascii="Calibri" w:cs="Calibri" w:eastAsia="Calibri" w:hAnsi="Calibri"/>
          <w:b/>
          <w:bCs/>
          <w:color w:val="1A1A1A"/>
          <w:sz w:val="19"/>
          <w:szCs w:val="19"/>
        </w:rPr>
        <w:t xml:space="preserve">Table 3. Confusion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left"/>
            </w:pPr>
          </w:p>
        </w:tc>
        <w:tc>
          <w:tcPr>
            <w:tcW w:type="dxa" w:w="312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center"/>
            </w:pPr>
            <w:r>
              <w:rPr>
                <w:rFonts w:ascii="Calibri" w:cs="Calibri" w:eastAsia="Calibri" w:hAnsi="Calibri"/>
                <w:b/>
                <w:bCs/>
                <w:color w:val="1A1A1A"/>
                <w:sz w:val="19"/>
                <w:szCs w:val="19"/>
              </w:rPr>
              <w:t xml:space="preserve">Predicted benign</w:t>
            </w:r>
          </w:p>
        </w:tc>
        <w:tc>
          <w:tcPr>
            <w:tcW w:type="dxa" w:w="312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center"/>
            </w:pPr>
            <w:r>
              <w:rPr>
                <w:rFonts w:ascii="Calibri" w:cs="Calibri" w:eastAsia="Calibri" w:hAnsi="Calibri"/>
                <w:b/>
                <w:bCs/>
                <w:color w:val="1A1A1A"/>
                <w:sz w:val="19"/>
                <w:szCs w:val="19"/>
              </w:rPr>
              <w:t xml:space="preserve">Predicted malignant</w:t>
            </w:r>
          </w:p>
        </w:tc>
      </w:tr>
      <w:tr>
        <w:trPr>
          <w:cantSplit/>
        </w:trPr>
        <w:tc>
          <w:tcPr>
            <w:tcW w:type="dxa" w:w="312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True malignant (n = 200)</w:t>
            </w:r>
          </w:p>
        </w:tc>
        <w:tc>
          <w:tcPr>
            <w:tcW w:type="dxa" w:w="312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200</w:t>
            </w:r>
          </w:p>
        </w:tc>
        <w:tc>
          <w:tcPr>
            <w:tcW w:type="dxa" w:w="312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0</w:t>
            </w:r>
          </w:p>
        </w:tc>
      </w:tr>
      <w:tr>
        <w:trPr>
          <w:cantSplit/>
        </w:trPr>
        <w:tc>
          <w:tcPr>
            <w:tcW w:type="dxa" w:w="312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left"/>
            </w:pPr>
            <w:r>
              <w:rPr>
                <w:rFonts w:ascii="Calibri" w:cs="Calibri" w:eastAsia="Calibri" w:hAnsi="Calibri"/>
                <w:color w:val="1A1A1A"/>
                <w:sz w:val="19"/>
                <w:szCs w:val="19"/>
              </w:rPr>
              <w:t xml:space="preserve">True benign (n = 200)</w:t>
            </w:r>
          </w:p>
        </w:tc>
        <w:tc>
          <w:tcPr>
            <w:tcW w:type="dxa" w:w="312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center"/>
            </w:pPr>
            <w:r>
              <w:rPr>
                <w:rFonts w:ascii="Calibri" w:cs="Calibri" w:eastAsia="Calibri" w:hAnsi="Calibri"/>
                <w:color w:val="1A1A1A"/>
                <w:sz w:val="19"/>
                <w:szCs w:val="19"/>
              </w:rPr>
              <w:t xml:space="preserve">200</w:t>
            </w:r>
          </w:p>
        </w:tc>
        <w:tc>
          <w:tcPr>
            <w:tcW w:type="dxa" w:w="312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center"/>
            </w:pPr>
            <w:r>
              <w:rPr>
                <w:rFonts w:ascii="Calibri" w:cs="Calibri" w:eastAsia="Calibri" w:hAnsi="Calibri"/>
                <w:color w:val="1A1A1A"/>
                <w:sz w:val="19"/>
                <w:szCs w:val="19"/>
              </w:rPr>
              <w:t xml:space="preserve">0</w:t>
            </w:r>
          </w:p>
        </w:tc>
      </w:tr>
    </w:tbl>
    <w:p>
      <w:pPr>
        <w:keepNext/>
        <w:spacing w:after="40" w:before="120"/>
        <w:jc w:val="center"/>
      </w:pPr>
      <w:r>
        <w:drawing>
          <wp:inline distT="0" distB="0" distL="0" distR="0">
            <wp:extent cx="3619500" cy="2333625"/>
            <wp:effectExtent t="0" r="0" b="0" l="0"/>
            <wp:docPr id="1" name="fig3_class_distribution.png" descr="Figure 3. True labels versus model answers: the model never chose “malignant”." title="Figure 3. True labels versus model answers: the model never chose “malign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333625"/>
                    </a:xfrm>
                    <a:prstGeom prst="rect">
                      <a:avLst/>
                    </a:prstGeom>
                  </pic:spPr>
                </pic:pic>
              </a:graphicData>
            </a:graphic>
          </wp:inline>
        </w:drawing>
      </w:r>
    </w:p>
    <w:p>
      <w:pPr>
        <w:spacing w:after="200" w:before="60"/>
      </w:pPr>
      <w:r>
        <w:rPr>
          <w:rFonts w:ascii="Calibri" w:cs="Calibri" w:eastAsia="Calibri" w:hAnsi="Calibri"/>
          <w:i w:val="false"/>
          <w:iCs w:val="false"/>
          <w:color w:val="5A5954"/>
          <w:sz w:val="18"/>
          <w:szCs w:val="18"/>
        </w:rPr>
        <w:t xml:space="preserve">Figure 3. True labels versus model answers: the model never chose “malignant”.</w:t>
      </w:r>
    </w:p>
    <w:p>
      <w:pPr>
        <w:pStyle w:val="Heading1"/>
        <w:keepNext/>
        <w:spacing w:after="140" w:before="320"/>
      </w:pPr>
      <w:r>
        <w:rPr>
          <w:rFonts w:ascii="Calibri" w:cs="Calibri" w:eastAsia="Calibri" w:hAnsi="Calibri"/>
          <w:b/>
          <w:bCs/>
          <w:color w:val="0D366B"/>
          <w:sz w:val="30"/>
          <w:szCs w:val="30"/>
        </w:rPr>
        <w:t xml:space="preserve">3. By image-ID suffix</w:t>
      </w:r>
    </w:p>
    <w:p>
      <w:pPr>
        <w:spacing w:after="120" w:line="276"/>
      </w:pPr>
      <w:r>
        <w:rPr>
          <w:rFonts w:ascii="Calibri" w:cs="Calibri" w:eastAsia="Calibri" w:hAnsi="Calibri"/>
          <w:color w:val="1A1A1A"/>
          <w:sz w:val="21"/>
          <w:szCs w:val="21"/>
        </w:rPr>
        <w:t xml:space="preserve">The only metadata in the results file is the image ID. IDs end in -l, -r or -s; I have not interpreted these suffixes (the file does not say what they mean). Accuracy by suffix simply equals the share of benign images in that suffix, because the model always says “benign”.</w:t>
      </w:r>
    </w:p>
    <w:p>
      <w:pPr>
        <w:keepNext/>
        <w:spacing w:after="80" w:before="160"/>
      </w:pPr>
      <w:r>
        <w:rPr>
          <w:rFonts w:ascii="Calibri" w:cs="Calibri" w:eastAsia="Calibri" w:hAnsi="Calibri"/>
          <w:b/>
          <w:bCs/>
          <w:color w:val="1A1A1A"/>
          <w:sz w:val="19"/>
          <w:szCs w:val="19"/>
        </w:rPr>
        <w:t xml:space="preserve">Table 4. Results by ID suffix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700"/>
        <w:gridCol w:w="1700"/>
        <w:gridCol w:w="1700"/>
        <w:gridCol w:w="1660"/>
      </w:tblGrid>
      <w:tr>
        <w:trPr>
          <w:cantSplit/>
          <w:tblHeader/>
        </w:trPr>
        <w:tc>
          <w:tcPr>
            <w:tcW w:type="dxa" w:w="15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left"/>
            </w:pPr>
            <w:r>
              <w:rPr>
                <w:rFonts w:ascii="Calibri" w:cs="Calibri" w:eastAsia="Calibri" w:hAnsi="Calibri"/>
                <w:b/>
                <w:bCs/>
                <w:color w:val="1A1A1A"/>
                <w:sz w:val="19"/>
                <w:szCs w:val="19"/>
              </w:rPr>
              <w:t xml:space="preserve">Suffix</w:t>
            </w:r>
          </w:p>
        </w:tc>
        <w:tc>
          <w:tcPr>
            <w:tcW w:type="dxa" w:w="11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center"/>
            </w:pPr>
            <w:r>
              <w:rPr>
                <w:rFonts w:ascii="Calibri" w:cs="Calibri" w:eastAsia="Calibri" w:hAnsi="Calibri"/>
                <w:b/>
                <w:bCs/>
                <w:color w:val="1A1A1A"/>
                <w:sz w:val="19"/>
                <w:szCs w:val="19"/>
              </w:rPr>
              <w:t xml:space="preserve">n</w:t>
            </w:r>
          </w:p>
        </w:tc>
        <w:tc>
          <w:tcPr>
            <w:tcW w:type="dxa" w:w="17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center"/>
            </w:pPr>
            <w:r>
              <w:rPr>
                <w:rFonts w:ascii="Calibri" w:cs="Calibri" w:eastAsia="Calibri" w:hAnsi="Calibri"/>
                <w:b/>
                <w:bCs/>
                <w:color w:val="1A1A1A"/>
                <w:sz w:val="19"/>
                <w:szCs w:val="19"/>
              </w:rPr>
              <w:t xml:space="preserve">Malignant / benign</w:t>
            </w:r>
          </w:p>
        </w:tc>
        <w:tc>
          <w:tcPr>
            <w:tcW w:type="dxa" w:w="17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center"/>
            </w:pPr>
            <w:r>
              <w:rPr>
                <w:rFonts w:ascii="Calibri" w:cs="Calibri" w:eastAsia="Calibri" w:hAnsi="Calibri"/>
                <w:b/>
                <w:bCs/>
                <w:color w:val="1A1A1A"/>
                <w:sz w:val="19"/>
                <w:szCs w:val="19"/>
              </w:rPr>
              <w:t xml:space="preserve">Accuracy</w:t>
            </w:r>
          </w:p>
        </w:tc>
        <w:tc>
          <w:tcPr>
            <w:tcW w:type="dxa" w:w="17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center"/>
            </w:pPr>
            <w:r>
              <w:rPr>
                <w:rFonts w:ascii="Calibri" w:cs="Calibri" w:eastAsia="Calibri" w:hAnsi="Calibri"/>
                <w:b/>
                <w:bCs/>
                <w:color w:val="1A1A1A"/>
                <w:sz w:val="19"/>
                <w:szCs w:val="19"/>
              </w:rPr>
              <w:t xml:space="preserve">95% CI</w:t>
            </w:r>
          </w:p>
        </w:tc>
        <w:tc>
          <w:tcPr>
            <w:tcW w:type="dxa" w:w="166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center"/>
            </w:pPr>
            <w:r>
              <w:rPr>
                <w:rFonts w:ascii="Calibri" w:cs="Calibri" w:eastAsia="Calibri" w:hAnsi="Calibri"/>
                <w:b/>
                <w:bCs/>
                <w:color w:val="1A1A1A"/>
                <w:sz w:val="19"/>
                <w:szCs w:val="19"/>
              </w:rPr>
              <w:t xml:space="preserve">Answered malignant</w:t>
            </w:r>
          </w:p>
        </w:tc>
      </w:tr>
      <w:tr>
        <w:trPr>
          <w:cantSplit/>
        </w:trPr>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-l</w:t>
            </w:r>
          </w:p>
        </w:tc>
        <w:tc>
          <w:tcPr>
            <w:tcW w:type="dxa" w:w="11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166</w:t>
            </w:r>
          </w:p>
        </w:tc>
        <w:tc>
          <w:tcPr>
            <w:tcW w:type="dxa" w:w="17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79 / 87</w:t>
            </w:r>
          </w:p>
        </w:tc>
        <w:tc>
          <w:tcPr>
            <w:tcW w:type="dxa" w:w="17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52.4%</w:t>
            </w:r>
          </w:p>
        </w:tc>
        <w:tc>
          <w:tcPr>
            <w:tcW w:type="dxa" w:w="17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44.8–59.9%</w:t>
            </w:r>
          </w:p>
        </w:tc>
        <w:tc>
          <w:tcPr>
            <w:tcW w:type="dxa" w:w="16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0%</w:t>
            </w:r>
          </w:p>
        </w:tc>
      </w:tr>
      <w:tr>
        <w:trPr>
          <w:cantSplit/>
        </w:trPr>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-r</w:t>
            </w:r>
          </w:p>
        </w:tc>
        <w:tc>
          <w:tcPr>
            <w:tcW w:type="dxa" w:w="11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151</w:t>
            </w:r>
          </w:p>
        </w:tc>
        <w:tc>
          <w:tcPr>
            <w:tcW w:type="dxa" w:w="17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80 / 71</w:t>
            </w:r>
          </w:p>
        </w:tc>
        <w:tc>
          <w:tcPr>
            <w:tcW w:type="dxa" w:w="17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47.0%</w:t>
            </w:r>
          </w:p>
        </w:tc>
        <w:tc>
          <w:tcPr>
            <w:tcW w:type="dxa" w:w="17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39.2–55.0%</w:t>
            </w:r>
          </w:p>
        </w:tc>
        <w:tc>
          <w:tcPr>
            <w:tcW w:type="dxa" w:w="16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0%</w:t>
            </w:r>
          </w:p>
        </w:tc>
      </w:tr>
      <w:tr>
        <w:trPr>
          <w:cantSplit/>
        </w:trPr>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left"/>
            </w:pPr>
            <w:r>
              <w:rPr>
                <w:rFonts w:ascii="Calibri" w:cs="Calibri" w:eastAsia="Calibri" w:hAnsi="Calibri"/>
                <w:color w:val="1A1A1A"/>
                <w:sz w:val="19"/>
                <w:szCs w:val="19"/>
              </w:rPr>
              <w:t xml:space="preserve">-s</w:t>
            </w:r>
          </w:p>
        </w:tc>
        <w:tc>
          <w:tcPr>
            <w:tcW w:type="dxa" w:w="11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center"/>
            </w:pPr>
            <w:r>
              <w:rPr>
                <w:rFonts w:ascii="Calibri" w:cs="Calibri" w:eastAsia="Calibri" w:hAnsi="Calibri"/>
                <w:color w:val="1A1A1A"/>
                <w:sz w:val="19"/>
                <w:szCs w:val="19"/>
              </w:rPr>
              <w:t xml:space="preserve">83</w:t>
            </w:r>
          </w:p>
        </w:tc>
        <w:tc>
          <w:tcPr>
            <w:tcW w:type="dxa" w:w="17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center"/>
            </w:pPr>
            <w:r>
              <w:rPr>
                <w:rFonts w:ascii="Calibri" w:cs="Calibri" w:eastAsia="Calibri" w:hAnsi="Calibri"/>
                <w:color w:val="1A1A1A"/>
                <w:sz w:val="19"/>
                <w:szCs w:val="19"/>
              </w:rPr>
              <w:t xml:space="preserve">41 / 42</w:t>
            </w:r>
          </w:p>
        </w:tc>
        <w:tc>
          <w:tcPr>
            <w:tcW w:type="dxa" w:w="17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center"/>
            </w:pPr>
            <w:r>
              <w:rPr>
                <w:rFonts w:ascii="Calibri" w:cs="Calibri" w:eastAsia="Calibri" w:hAnsi="Calibri"/>
                <w:color w:val="1A1A1A"/>
                <w:sz w:val="19"/>
                <w:szCs w:val="19"/>
              </w:rPr>
              <w:t xml:space="preserve">50.6%</w:t>
            </w:r>
          </w:p>
        </w:tc>
        <w:tc>
          <w:tcPr>
            <w:tcW w:type="dxa" w:w="17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center"/>
            </w:pPr>
            <w:r>
              <w:rPr>
                <w:rFonts w:ascii="Calibri" w:cs="Calibri" w:eastAsia="Calibri" w:hAnsi="Calibri"/>
                <w:color w:val="1A1A1A"/>
                <w:sz w:val="19"/>
                <w:szCs w:val="19"/>
              </w:rPr>
              <w:t xml:space="preserve">40.1–61.1%</w:t>
            </w:r>
          </w:p>
        </w:tc>
        <w:tc>
          <w:tcPr>
            <w:tcW w:type="dxa" w:w="16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center"/>
            </w:pPr>
            <w:r>
              <w:rPr>
                <w:rFonts w:ascii="Calibri" w:cs="Calibri" w:eastAsia="Calibri" w:hAnsi="Calibri"/>
                <w:color w:val="1A1A1A"/>
                <w:sz w:val="19"/>
                <w:szCs w:val="19"/>
              </w:rPr>
              <w:t xml:space="preserve">0%</w:t>
            </w:r>
          </w:p>
        </w:tc>
      </w:tr>
    </w:tbl>
    <w:p>
      <w:pPr>
        <w:keepNext/>
        <w:spacing w:after="40" w:before="120"/>
        <w:jc w:val="center"/>
      </w:pPr>
      <w:r>
        <w:drawing>
          <wp:inline distT="0" distB="0" distL="0" distR="0">
            <wp:extent cx="4381500" cy="2971800"/>
            <wp:effectExtent t="0" r="0" b="0" l="0"/>
            <wp:docPr id="1" name="fig4_by_id_suffix.png" descr="Figure 4. Accuracy and share of “malignant” answers by ID suffix." title="Figure 4. Accuracy and share of “malignant” answers by ID suff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971800"/>
                    </a:xfrm>
                    <a:prstGeom prst="rect">
                      <a:avLst/>
                    </a:prstGeom>
                  </pic:spPr>
                </pic:pic>
              </a:graphicData>
            </a:graphic>
          </wp:inline>
        </w:drawing>
      </w:r>
    </w:p>
    <w:p>
      <w:pPr>
        <w:spacing w:after="200" w:before="60"/>
      </w:pPr>
      <w:r>
        <w:rPr>
          <w:rFonts w:ascii="Calibri" w:cs="Calibri" w:eastAsia="Calibri" w:hAnsi="Calibri"/>
          <w:i w:val="false"/>
          <w:iCs w:val="false"/>
          <w:color w:val="5A5954"/>
          <w:sz w:val="18"/>
          <w:szCs w:val="18"/>
        </w:rPr>
        <w:t xml:space="preserve">Figure 4. Accuracy and share of “malignant” answers by ID suffix.</w:t>
      </w:r>
    </w:p>
    <w:p>
      <w:pPr>
        <w:pStyle w:val="Heading1"/>
        <w:keepNext/>
        <w:spacing w:after="140" w:before="320"/>
      </w:pPr>
      <w:r>
        <w:rPr>
          <w:rFonts w:ascii="Calibri" w:cs="Calibri" w:eastAsia="Calibri" w:hAnsi="Calibri"/>
          <w:b/>
          <w:bCs/>
          <w:color w:val="0D366B"/>
          <w:sz w:val="30"/>
          <w:szCs w:val="30"/>
        </w:rPr>
        <w:t xml:space="preserve">4. Comparison with Qwen2-VL-2B-Instruct</w:t>
      </w:r>
    </w:p>
    <w:p>
      <w:pPr>
        <w:spacing w:after="120" w:line="276"/>
      </w:pPr>
      <w:r>
        <w:rPr>
          <w:rFonts w:ascii="Calibri" w:cs="Calibri" w:eastAsia="Calibri" w:hAnsi="Calibri"/>
          <w:color w:val="1A1A1A"/>
          <w:sz w:val="21"/>
          <w:szCs w:val="21"/>
        </w:rPr>
        <w:t xml:space="preserve">Both models were run on the same 400 images with the same prompt, parser and settings. </w:t>
      </w:r>
      <w:r>
        <w:rPr>
          <w:rFonts w:ascii="Calibri" w:cs="Calibri" w:eastAsia="Calibri" w:hAnsi="Calibri"/>
          <w:b/>
          <w:bCs/>
          <w:color w:val="1A1A1A"/>
          <w:sz w:val="21"/>
          <w:szCs w:val="21"/>
        </w:rPr>
        <w:t xml:space="preserve">They gave the same answer, “benign”, for every image: 400 of 400 identical answers, 0 images where they differ.</w:t>
      </w:r>
      <w:r>
        <w:rPr>
          <w:rFonts w:ascii="Calibri" w:cs="Calibri" w:eastAsia="Calibri" w:hAnsi="Calibri"/>
          <w:color w:val="1A1A1A"/>
          <w:sz w:val="21"/>
          <w:szCs w:val="21"/>
        </w:rPr>
        <w:t xml:space="preserve"> Their metrics are therefore identical (accuracy 50.0%, sensitivity 0%, specificity 100%), and a paired test (McNemar) has nothing to compare.</w:t>
      </w:r>
    </w:p>
    <w:p>
      <w:pPr>
        <w:pStyle w:val="ListParagraph"/>
        <w:numPr>
          <w:ilvl w:val="0"/>
          <w:numId w:val="2"/>
        </w:numPr>
        <w:spacing w:after="70" w:line="270"/>
      </w:pPr>
      <w:r>
        <w:rPr>
          <w:rFonts w:ascii="Calibri" w:cs="Calibri" w:eastAsia="Calibri" w:hAnsi="Calibri"/>
          <w:b/>
          <w:bCs/>
          <w:color w:val="1A1A1A"/>
          <w:sz w:val="21"/>
          <w:szCs w:val="21"/>
        </w:rPr>
        <w:t xml:space="preserve">The weights are not the same model:</w:t>
      </w:r>
      <w:r>
        <w:rPr>
          <w:rFonts w:ascii="Calibri" w:cs="Calibri" w:eastAsia="Calibri" w:hAnsi="Calibri"/>
          <w:color w:val="1A1A1A"/>
          <w:sz w:val="21"/>
          <w:szCs w:val="21"/>
        </w:rPr>
        <w:t xml:space="preserve"> on RadImageNet-VQA the two models disagreed on 7% of questions (93% identical answers), so MedVLM-R1’s fine-tuning does change its outputs. On this task and prompt, both fall into the same fixed answer.</w:t>
      </w:r>
    </w:p>
    <w:p>
      <w:pPr>
        <w:pStyle w:val="ListParagraph"/>
        <w:numPr>
          <w:ilvl w:val="0"/>
          <w:numId w:val="2"/>
        </w:numPr>
        <w:spacing w:after="70" w:line="270"/>
      </w:pPr>
      <w:r>
        <w:rPr>
          <w:rFonts w:ascii="Calibri" w:cs="Calibri" w:eastAsia="Calibri" w:hAnsi="Calibri"/>
          <w:b/>
          <w:bCs/>
          <w:color w:val="1A1A1A"/>
          <w:sz w:val="21"/>
          <w:szCs w:val="21"/>
        </w:rPr>
        <w:t xml:space="preserve">What this suggests:</w:t>
      </w:r>
      <w:r>
        <w:rPr>
          <w:rFonts w:ascii="Calibri" w:cs="Calibri" w:eastAsia="Calibri" w:hAnsi="Calibri"/>
          <w:color w:val="1A1A1A"/>
          <w:sz w:val="21"/>
          <w:szCs w:val="21"/>
        </w:rPr>
        <w:t xml:space="preserve"> a shared strong prior toward “benign” for this prompt in the Qwen2-VL family, with the image having little or no influence. It is also what a pipeline problem that hides the image would look like, so the blank-image check below is worth running before drawing conclusions about the models.</w:t>
      </w:r>
    </w:p>
    <w:p>
      <w:pPr>
        <w:pStyle w:val="ListParagraph"/>
        <w:numPr>
          <w:ilvl w:val="0"/>
          <w:numId w:val="2"/>
        </w:numPr>
        <w:spacing w:after="70" w:line="270"/>
      </w:pPr>
      <w:r>
        <w:rPr>
          <w:rFonts w:ascii="Calibri" w:cs="Calibri" w:eastAsia="Calibri" w:hAnsi="Calibri"/>
          <w:b/>
          <w:bCs/>
          <w:color w:val="1A1A1A"/>
          <w:sz w:val="21"/>
          <w:szCs w:val="21"/>
        </w:rPr>
        <w:t xml:space="preserve">Direct-answer mode:</w:t>
      </w:r>
      <w:r>
        <w:rPr>
          <w:rFonts w:ascii="Calibri" w:cs="Calibri" w:eastAsia="Calibri" w:hAnsi="Calibri"/>
          <w:color w:val="1A1A1A"/>
          <w:sz w:val="21"/>
          <w:szCs w:val="21"/>
        </w:rPr>
        <w:t xml:space="preserve"> MedVLM-R1 is designed to reason before answering. The prompt asks for only the label and the cap is 32 tokens, so every output was the bare word “benign”; no </w:t>
      </w:r>
      <w:r>
        <w:rPr>
          <w:rFonts w:ascii="Consolas" w:cs="Consolas" w:eastAsia="Consolas" w:hAnsi="Consolas"/>
          <w:color w:val="1A1A1A"/>
          <w:sz w:val="19"/>
          <w:szCs w:val="19"/>
        </w:rPr>
        <w:t xml:space="preserve">&lt;think&gt;</w:t>
      </w:r>
      <w:r>
        <w:rPr>
          <w:rFonts w:ascii="Calibri" w:cs="Calibri" w:eastAsia="Calibri" w:hAnsi="Calibri"/>
          <w:color w:val="1A1A1A"/>
          <w:sz w:val="21"/>
          <w:szCs w:val="21"/>
        </w:rPr>
        <w:t xml:space="preserve"> text appeared. The parser would accept one </w:t>
      </w:r>
      <w:r>
        <w:rPr>
          <w:rFonts w:ascii="Consolas" w:cs="Consolas" w:eastAsia="Consolas" w:hAnsi="Consolas"/>
          <w:color w:val="1A1A1A"/>
          <w:sz w:val="19"/>
          <w:szCs w:val="19"/>
        </w:rPr>
        <w:t xml:space="preserve">&lt;think&gt;</w:t>
      </w:r>
      <w:r>
        <w:rPr>
          <w:rFonts w:ascii="Calibri" w:cs="Calibri" w:eastAsia="Calibri" w:hAnsi="Calibri"/>
          <w:color w:val="1A1A1A"/>
          <w:sz w:val="21"/>
          <w:szCs w:val="21"/>
        </w:rPr>
        <w:t xml:space="preserve"> block, but none occurred. These results describe direct-answer behaviour, not reasoning mode.</w:t>
      </w:r>
    </w:p>
    <w:p>
      <w:pPr>
        <w:pStyle w:val="Heading1"/>
        <w:keepNext/>
        <w:spacing w:after="140" w:before="320"/>
      </w:pPr>
      <w:r>
        <w:rPr>
          <w:rFonts w:ascii="Calibri" w:cs="Calibri" w:eastAsia="Calibri" w:hAnsi="Calibri"/>
          <w:b/>
          <w:bCs/>
          <w:color w:val="0D366B"/>
          <w:sz w:val="30"/>
          <w:szCs w:val="30"/>
        </w:rPr>
        <w:t xml:space="preserve">5. Interpretation and caveats</w:t>
      </w:r>
    </w:p>
    <w:p>
      <w:pPr>
        <w:pStyle w:val="ListParagraph"/>
        <w:numPr>
          <w:ilvl w:val="0"/>
          <w:numId w:val="2"/>
        </w:numPr>
        <w:spacing w:after="70" w:line="270"/>
      </w:pPr>
      <w:r>
        <w:rPr>
          <w:rFonts w:ascii="Calibri" w:cs="Calibri" w:eastAsia="Calibri" w:hAnsi="Calibri"/>
          <w:b/>
          <w:bCs/>
          <w:color w:val="1A1A1A"/>
          <w:sz w:val="21"/>
          <w:szCs w:val="21"/>
        </w:rPr>
        <w:t xml:space="preserve">What the result says:</w:t>
      </w:r>
      <w:r>
        <w:rPr>
          <w:rFonts w:ascii="Calibri" w:cs="Calibri" w:eastAsia="Calibri" w:hAnsi="Calibri"/>
          <w:color w:val="1A1A1A"/>
          <w:sz w:val="21"/>
          <w:szCs w:val="21"/>
        </w:rPr>
        <w:t xml:space="preserve"> with this prompt and setting, the model has a fixed answer (“benign”) and does not use the image to decide. Nothing in these files shows whether it can see the lesions.</w:t>
      </w:r>
    </w:p>
    <w:p>
      <w:pPr>
        <w:pStyle w:val="ListParagraph"/>
        <w:numPr>
          <w:ilvl w:val="0"/>
          <w:numId w:val="2"/>
        </w:numPr>
        <w:spacing w:after="70" w:line="270"/>
      </w:pPr>
      <w:r>
        <w:rPr>
          <w:rFonts w:ascii="Calibri" w:cs="Calibri" w:eastAsia="Calibri" w:hAnsi="Calibri"/>
          <w:b/>
          <w:bCs/>
          <w:color w:val="1A1A1A"/>
          <w:sz w:val="21"/>
          <w:szCs w:val="21"/>
        </w:rPr>
        <w:t xml:space="preserve">What it does not say:</w:t>
      </w:r>
      <w:r>
        <w:rPr>
          <w:rFonts w:ascii="Calibri" w:cs="Calibri" w:eastAsia="Calibri" w:hAnsi="Calibri"/>
          <w:color w:val="1A1A1A"/>
          <w:sz w:val="21"/>
          <w:szCs w:val="21"/>
        </w:rPr>
        <w:t xml:space="preserve"> whether the model would separate the classes if it were asked differently. A constant answer can come from a strong prior (the first-listed or more common label), from the prompt wording, or from the image not influencing the output. Accuracy alone cannot tell these apart.</w:t>
      </w:r>
    </w:p>
    <w:p>
      <w:pPr>
        <w:pStyle w:val="ListParagraph"/>
        <w:numPr>
          <w:ilvl w:val="0"/>
          <w:numId w:val="2"/>
        </w:numPr>
        <w:spacing w:after="70" w:line="270"/>
      </w:pPr>
      <w:r>
        <w:rPr>
          <w:rFonts w:ascii="Calibri" w:cs="Calibri" w:eastAsia="Calibri" w:hAnsi="Calibri"/>
          <w:b/>
          <w:bCs/>
          <w:color w:val="1A1A1A"/>
          <w:sz w:val="21"/>
          <w:szCs w:val="21"/>
        </w:rPr>
        <w:t xml:space="preserve">Natural class mix:</w:t>
      </w:r>
      <w:r>
        <w:rPr>
          <w:rFonts w:ascii="Calibri" w:cs="Calibri" w:eastAsia="Calibri" w:hAnsi="Calibri"/>
          <w:color w:val="1A1A1A"/>
          <w:sz w:val="21"/>
          <w:szCs w:val="21"/>
        </w:rPr>
        <w:t xml:space="preserve"> the sample is balanced on purpose. In the full dataset benign images are more common than malignant ones, so a constant “benign” answer would score above 50% there while still finding no cancer. Sensitivity is the number to watch.</w:t>
      </w:r>
    </w:p>
    <w:p>
      <w:pPr>
        <w:pStyle w:val="ListParagraph"/>
        <w:numPr>
          <w:ilvl w:val="0"/>
          <w:numId w:val="2"/>
        </w:numPr>
        <w:spacing w:after="70" w:line="270"/>
      </w:pPr>
      <w:r>
        <w:rPr>
          <w:rFonts w:ascii="Calibri" w:cs="Calibri" w:eastAsia="Calibri" w:hAnsi="Calibri"/>
          <w:b/>
          <w:bCs/>
          <w:color w:val="1A1A1A"/>
          <w:sz w:val="21"/>
          <w:szCs w:val="21"/>
        </w:rPr>
        <w:t xml:space="preserve">Sample:</w:t>
      </w:r>
      <w:r>
        <w:rPr>
          <w:rFonts w:ascii="Calibri" w:cs="Calibri" w:eastAsia="Calibri" w:hAnsi="Calibri"/>
          <w:color w:val="1A1A1A"/>
          <w:sz w:val="21"/>
          <w:szCs w:val="21"/>
        </w:rPr>
        <w:t xml:space="preserve"> with 200 images per class, even a modest detection ability would have shown up as sensitivity above 0. The interval for sensitivity is 0–1.9%.</w:t>
      </w:r>
    </w:p>
    <w:p>
      <w:pPr>
        <w:pStyle w:val="ListParagraph"/>
        <w:numPr>
          <w:ilvl w:val="0"/>
          <w:numId w:val="2"/>
        </w:numPr>
        <w:spacing w:after="70" w:line="270"/>
      </w:pPr>
      <w:r>
        <w:rPr>
          <w:rFonts w:ascii="Calibri" w:cs="Calibri" w:eastAsia="Calibri" w:hAnsi="Calibri"/>
          <w:b/>
          <w:bCs/>
          <w:color w:val="1A1A1A"/>
          <w:sz w:val="21"/>
          <w:szCs w:val="21"/>
        </w:rPr>
        <w:t xml:space="preserve">Not a clinical evaluation:</w:t>
      </w:r>
      <w:r>
        <w:rPr>
          <w:rFonts w:ascii="Calibri" w:cs="Calibri" w:eastAsia="Calibri" w:hAnsi="Calibri"/>
          <w:color w:val="1A1A1A"/>
          <w:sz w:val="21"/>
          <w:szCs w:val="21"/>
        </w:rPr>
        <w:t xml:space="preserve"> these results describe benchmark behaviour only.</w:t>
      </w:r>
    </w:p>
    <w:p>
      <w:pPr>
        <w:pStyle w:val="Heading1"/>
        <w:keepNext/>
        <w:spacing w:after="140" w:before="320"/>
      </w:pPr>
      <w:r>
        <w:rPr>
          <w:rFonts w:ascii="Calibri" w:cs="Calibri" w:eastAsia="Calibri" w:hAnsi="Calibri"/>
          <w:b/>
          <w:bCs/>
          <w:color w:val="0D366B"/>
          <w:sz w:val="30"/>
          <w:szCs w:val="30"/>
        </w:rPr>
        <w:t xml:space="preserve">6. Next steps</w:t>
      </w:r>
    </w:p>
    <w:p>
      <w:pPr>
        <w:pStyle w:val="ListParagraph"/>
        <w:numPr>
          <w:ilvl w:val="0"/>
          <w:numId w:val="2"/>
        </w:numPr>
        <w:spacing w:after="70" w:line="270"/>
      </w:pPr>
      <w:r>
        <w:rPr>
          <w:rFonts w:ascii="Calibri" w:cs="Calibri" w:eastAsia="Calibri" w:hAnsi="Calibri"/>
          <w:color w:val="1A1A1A"/>
          <w:sz w:val="21"/>
          <w:szCs w:val="21"/>
        </w:rPr>
        <w:t xml:space="preserve">Run the same analysis for Gemma 3 4B-it and MedGemma 4B-it on the same 400 images, then compare all four models with sensitivity, specificity, MCC and paired tests (McNemar).</w:t>
      </w:r>
    </w:p>
    <w:p>
      <w:pPr>
        <w:pStyle w:val="ListParagraph"/>
        <w:numPr>
          <w:ilvl w:val="0"/>
          <w:numId w:val="2"/>
        </w:numPr>
        <w:spacing w:after="70" w:line="270"/>
      </w:pPr>
      <w:r>
        <w:rPr>
          <w:rFonts w:ascii="Calibri" w:cs="Calibri" w:eastAsia="Calibri" w:hAnsi="Calibri"/>
          <w:color w:val="1A1A1A"/>
          <w:sz w:val="21"/>
          <w:szCs w:val="21"/>
        </w:rPr>
        <w:t xml:space="preserve">Quick sanity check on the pipeline, for both models: run the same prompt on a few blank (black) images. If the answer is again “benign”, the output does not depend on the image content at all. Optionally also try a version that lets MedVLM-R1 reason (a longer token cap) as a separate condition.</w:t>
      </w:r>
    </w:p>
    <w:p>
      <w:pPr>
        <w:pStyle w:val="ListParagraph"/>
        <w:numPr>
          <w:ilvl w:val="0"/>
          <w:numId w:val="2"/>
        </w:numPr>
        <w:spacing w:after="70" w:line="270"/>
      </w:pPr>
      <w:r>
        <w:rPr>
          <w:rFonts w:ascii="Calibri" w:cs="Calibri" w:eastAsia="Calibri" w:hAnsi="Calibri"/>
          <w:color w:val="1A1A1A"/>
          <w:sz w:val="21"/>
          <w:szCs w:val="21"/>
        </w:rPr>
        <w:t xml:space="preserve">Save a score for each image (for example the log-probability of “benign” versus “malignant”). The notebook currently stores only the decoded text, so AUC cannot be computed. A score would show whether the model ranks malignant above benign even when its fixed answer hides it.</w:t>
      </w:r>
    </w:p>
    <w:p>
      <w:pPr>
        <w:pStyle w:val="ListParagraph"/>
        <w:numPr>
          <w:ilvl w:val="0"/>
          <w:numId w:val="2"/>
        </w:numPr>
        <w:spacing w:after="70" w:line="270"/>
      </w:pPr>
      <w:r>
        <w:rPr>
          <w:rFonts w:ascii="Calibri" w:cs="Calibri" w:eastAsia="Calibri" w:hAnsi="Calibri"/>
          <w:color w:val="1A1A1A"/>
          <w:sz w:val="21"/>
          <w:szCs w:val="21"/>
        </w:rPr>
        <w:t xml:space="preserve">Optionally test one variant of the prompt (label order swapped) to check whether the constant answer depends on the wording.</w:t>
      </w:r>
    </w:p>
    <w:p>
      <w:pPr>
        <w:pStyle w:val="ListParagraph"/>
        <w:numPr>
          <w:ilvl w:val="0"/>
          <w:numId w:val="2"/>
        </w:numPr>
        <w:spacing w:after="70" w:line="270"/>
      </w:pPr>
      <w:r>
        <w:rPr>
          <w:rFonts w:ascii="Calibri" w:cs="Calibri" w:eastAsia="Calibri" w:hAnsi="Calibri"/>
          <w:color w:val="1A1A1A"/>
          <w:sz w:val="21"/>
          <w:szCs w:val="21"/>
        </w:rPr>
        <w:t xml:space="preserve">Keep the executed notebook and logs with the results; this copy has no outputs.</w:t>
      </w:r>
    </w:p>
    <w:sectPr>
      <w:footerReference w:type="default" r:id="rId7"/>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954"/>
        <w:sz w:val="16"/>
        <w:szCs w:val="16"/>
      </w:rPr>
      <w:t xml:space="preserve">MedVLM-R1 on BUS-BRA · page </w:t>
    </w:r>
    <w:r>
      <w:rPr>
        <w:rFonts w:ascii="Calibri" w:cs="Calibri" w:eastAsia="Calibri" w:hAnsi="Calibri"/>
        <w:color w:val="5A595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8583902f150c0a46f38df0507c6ebaed0c08dc2.png"/><Relationship Id="rId9" Type="http://schemas.openxmlformats.org/officeDocument/2006/relationships/image" Target="media/20c76367a15401e6e9bdd708bf50d6de0a3f9c6b.png"/><Relationship Id="rId10" Type="http://schemas.openxmlformats.org/officeDocument/2006/relationships/image" Target="media/607c336ff2e243044653bdeae0ec60fcfe1d49f9.png"/><Relationship Id="rId11" Type="http://schemas.openxmlformats.org/officeDocument/2006/relationships/image" Target="media/5d962a2c2d4bddd38ce5f6ee20edc56d02bc8a0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MedVLM-R1 on BUS-BRA: Zero-Shot Results</dc:title>
  <dc:creator>Mahdi</dc:creator>
  <cp:lastModifiedBy>Un-named</cp:lastModifiedBy>
  <cp:revision>1</cp:revision>
  <dcterms:created xsi:type="dcterms:W3CDTF">2026-10-12T16:41:19.802Z</dcterms:created>
  <dcterms:modified xsi:type="dcterms:W3CDTF">2026-10-12T16:41:19.802Z</dcterms:modified>
</cp:coreProperties>
</file>

<file path=docProps/custom.xml><?xml version="1.0" encoding="utf-8"?>
<Properties xmlns="http://schemas.openxmlformats.org/officeDocument/2006/custom-properties" xmlns:vt="http://schemas.openxmlformats.org/officeDocument/2006/docPropsVTypes"/>
</file>