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0"/>
      </w:pPr>
      <w:r>
        <w:rPr>
          <w:b/>
          <w:i w:val="0"/>
          <w:color w:val="14304A"/>
          <w:sz w:val="88"/>
        </w:rPr>
        <w:t>heyBro</w:t>
      </w:r>
    </w:p>
    <w:p>
      <w:pPr>
        <w:spacing w:after="520"/>
      </w:pPr>
      <w:r>
        <w:rPr>
          <w:i w:val="0"/>
          <w:color w:val="B45309"/>
          <w:sz w:val="28"/>
        </w:rPr>
        <w:t>Live travel-safety intelligence, offline-first</w:t>
      </w:r>
    </w:p>
    <w:p>
      <w:pPr>
        <w:spacing w:after="120"/>
      </w:pPr>
      <w:r>
        <w:rPr>
          <w:b/>
          <w:i w:val="0"/>
          <w:color w:val="455569"/>
          <w:sz w:val="30"/>
        </w:rPr>
        <w:t>Technical Documentation, Architecture Reference, and Model Context Protocol Integration Plan</w:t>
      </w:r>
    </w:p>
    <w:p>
      <w:pPr>
        <w:pBdr>
          <w:bottom w:val="single" w:sz="10" w:space="2" w:color="14304A"/>
        </w:pBdr>
      </w:pPr>
      <w:r>
        <w:rPr>
          <w:i w:val="0"/>
        </w:rPr>
      </w:r>
    </w:p>
    <w:p>
      <w:pPr>
        <w:spacing w:after="440"/>
      </w:pPr>
    </w:p>
    <w:tbl>
      <w:tblPr>
        <w:tblStyle w:val="TableGrid"/>
        <w:tblW w:type="auto" w:w="0"/>
        <w:jc w:val="left"/>
        <w:tblLayout w:type="fixed"/>
        <w:tblLook w:firstColumn="1" w:firstRow="1" w:lastColumn="0" w:lastRow="0" w:noHBand="0" w:noVBand="1" w:val="04A0"/>
      </w:tblPr>
      <w:tblGrid>
        <w:gridCol w:w="4706"/>
        <w:gridCol w:w="4706"/>
      </w:tblGrid>
      <w:tr>
        <w:trPr>
          <w:cantSplit/>
        </w:trPr>
        <w:tc>
          <w:tcPr>
            <w:tcW w:type="dxa" w:w="2494"/>
          </w:tcPr>
          <w:p>
            <w:pPr>
              <w:spacing w:before="50" w:after="50" w:line="259" w:lineRule="auto"/>
            </w:pPr>
            <w:r/>
            <w:r>
              <w:rPr>
                <w:sz w:val="19"/>
              </w:rPr>
              <w:t>Document version</w:t>
            </w:r>
          </w:p>
        </w:tc>
        <w:tc>
          <w:tcPr>
            <w:tcW w:type="dxa" w:w="6917"/>
          </w:tcPr>
          <w:p>
            <w:pPr>
              <w:spacing w:before="50" w:after="50" w:line="259" w:lineRule="auto"/>
            </w:pPr>
            <w:r/>
            <w:r>
              <w:rPr>
                <w:sz w:val="19"/>
              </w:rPr>
              <w:t>0.1 — first consolidated draft</w:t>
            </w:r>
          </w:p>
        </w:tc>
      </w:tr>
      <w:tr>
        <w:trPr>
          <w:cantSplit/>
        </w:trPr>
        <w:tc>
          <w:tcPr>
            <w:tcW w:type="dxa" w:w="2494"/>
            <w:shd w:val="clear" w:color="auto" w:fill="F1F5F9"/>
          </w:tcPr>
          <w:p>
            <w:pPr>
              <w:spacing w:before="50" w:after="50" w:line="259" w:lineRule="auto"/>
            </w:pPr>
            <w:r/>
            <w:r>
              <w:rPr>
                <w:sz w:val="19"/>
              </w:rPr>
              <w:t>Date</w:t>
            </w:r>
          </w:p>
        </w:tc>
        <w:tc>
          <w:tcPr>
            <w:tcW w:type="dxa" w:w="6917"/>
            <w:shd w:val="clear" w:color="auto" w:fill="F1F5F9"/>
          </w:tcPr>
          <w:p>
            <w:pPr>
              <w:spacing w:before="50" w:after="50" w:line="259" w:lineRule="auto"/>
            </w:pPr>
            <w:r/>
            <w:r>
              <w:rPr>
                <w:sz w:val="19"/>
              </w:rPr>
              <w:t>26 October 2026</w:t>
            </w:r>
          </w:p>
        </w:tc>
      </w:tr>
      <w:tr>
        <w:trPr>
          <w:cantSplit/>
        </w:trPr>
        <w:tc>
          <w:tcPr>
            <w:tcW w:type="dxa" w:w="2494"/>
          </w:tcPr>
          <w:p>
            <w:pPr>
              <w:spacing w:before="50" w:after="50" w:line="259" w:lineRule="auto"/>
            </w:pPr>
            <w:r/>
            <w:r>
              <w:rPr>
                <w:sz w:val="19"/>
              </w:rPr>
              <w:t>Prepared for</w:t>
            </w:r>
          </w:p>
        </w:tc>
        <w:tc>
          <w:tcPr>
            <w:tcW w:type="dxa" w:w="6917"/>
          </w:tcPr>
          <w:p>
            <w:pPr>
              <w:spacing w:before="50" w:after="50" w:line="259" w:lineRule="auto"/>
            </w:pPr>
            <w:r/>
            <w:r>
              <w:rPr>
                <w:sz w:val="19"/>
              </w:rPr>
              <w:t>Ankit</w:t>
            </w:r>
          </w:p>
        </w:tc>
      </w:tr>
      <w:tr>
        <w:trPr>
          <w:cantSplit/>
        </w:trPr>
        <w:tc>
          <w:tcPr>
            <w:tcW w:type="dxa" w:w="2494"/>
            <w:shd w:val="clear" w:color="auto" w:fill="F1F5F9"/>
          </w:tcPr>
          <w:p>
            <w:pPr>
              <w:spacing w:before="50" w:after="50" w:line="259" w:lineRule="auto"/>
            </w:pPr>
            <w:r/>
            <w:r>
              <w:rPr>
                <w:sz w:val="19"/>
              </w:rPr>
              <w:t>Subject system</w:t>
            </w:r>
          </w:p>
        </w:tc>
        <w:tc>
          <w:tcPr>
            <w:tcW w:type="dxa" w:w="6917"/>
            <w:shd w:val="clear" w:color="auto" w:fill="F1F5F9"/>
          </w:tcPr>
          <w:p>
            <w:pPr>
              <w:spacing w:before="50" w:after="50" w:line="259" w:lineRule="auto"/>
            </w:pPr>
            <w:r/>
            <w:r>
              <w:rPr>
                <w:sz w:val="19"/>
              </w:rPr>
              <w:t>heyBro — travel-safety progressive web application</w:t>
            </w:r>
          </w:p>
        </w:tc>
      </w:tr>
      <w:tr>
        <w:trPr>
          <w:cantSplit/>
        </w:trPr>
        <w:tc>
          <w:tcPr>
            <w:tcW w:type="dxa" w:w="2494"/>
          </w:tcPr>
          <w:p>
            <w:pPr>
              <w:spacing w:before="50" w:after="50" w:line="259" w:lineRule="auto"/>
            </w:pPr>
            <w:r/>
            <w:r>
              <w:rPr>
                <w:sz w:val="19"/>
              </w:rPr>
              <w:t>Code basis</w:t>
            </w:r>
          </w:p>
        </w:tc>
        <w:tc>
          <w:tcPr>
            <w:tcW w:type="dxa" w:w="6917"/>
          </w:tcPr>
          <w:p>
            <w:pPr>
              <w:spacing w:before="50" w:after="50" w:line="259" w:lineRule="auto"/>
            </w:pPr>
            <w:r/>
            <w:r>
              <w:rPr>
                <w:sz w:val="19"/>
              </w:rPr>
              <w:t>services/live_service.py · static/js/live.js · static/js/sw.js · tests/test_providers.py</w:t>
            </w:r>
          </w:p>
        </w:tc>
      </w:tr>
      <w:tr>
        <w:trPr>
          <w:cantSplit/>
        </w:trPr>
        <w:tc>
          <w:tcPr>
            <w:tcW w:type="dxa" w:w="2494"/>
            <w:shd w:val="clear" w:color="auto" w:fill="F1F5F9"/>
          </w:tcPr>
          <w:p>
            <w:pPr>
              <w:spacing w:before="50" w:after="50" w:line="259" w:lineRule="auto"/>
            </w:pPr>
            <w:r/>
            <w:r>
              <w:rPr>
                <w:sz w:val="19"/>
              </w:rPr>
              <w:t>Companion artefacts</w:t>
            </w:r>
          </w:p>
        </w:tc>
        <w:tc>
          <w:tcPr>
            <w:tcW w:type="dxa" w:w="6917"/>
            <w:shd w:val="clear" w:color="auto" w:fill="F1F5F9"/>
          </w:tcPr>
          <w:p>
            <w:pPr>
              <w:spacing w:before="50" w:after="50" w:line="259" w:lineRule="auto"/>
            </w:pPr>
            <w:r/>
            <w:r>
              <w:rPr>
                <w:sz w:val="19"/>
              </w:rPr>
              <w:t>mcp_server/heybro_mcp.py · mcp_server/requirements.txt · mcp_server/mcp.config.example.json</w:t>
            </w:r>
          </w:p>
        </w:tc>
      </w:tr>
      <w:tr>
        <w:trPr>
          <w:cantSplit/>
        </w:trPr>
        <w:tc>
          <w:tcPr>
            <w:tcW w:type="dxa" w:w="2494"/>
          </w:tcPr>
          <w:p>
            <w:pPr>
              <w:spacing w:before="50" w:after="50" w:line="259" w:lineRule="auto"/>
            </w:pPr>
            <w:r/>
            <w:r>
              <w:rPr>
                <w:sz w:val="19"/>
              </w:rPr>
              <w:t>Status</w:t>
            </w:r>
          </w:p>
        </w:tc>
        <w:tc>
          <w:tcPr>
            <w:tcW w:type="dxa" w:w="6917"/>
          </w:tcPr>
          <w:p>
            <w:pPr>
              <w:spacing w:before="50" w:after="50" w:line="259" w:lineRule="auto"/>
            </w:pPr>
            <w:r/>
            <w:r>
              <w:rPr>
                <w:sz w:val="19"/>
              </w:rPr>
              <w:t>Working document — architecture reference and forward plan</w:t>
            </w:r>
          </w:p>
        </w:tc>
      </w:tr>
    </w:tbl>
    <w:p>
      <w:pPr>
        <w:spacing w:after="0"/>
      </w:pPr>
    </w:p>
    <w:p>
      <w:pPr>
        <w:spacing w:after="600"/>
      </w:pPr>
    </w:p>
    <w:p>
      <w:pPr>
        <w:spacing w:before="160" w:after="40"/>
        <w:ind w:left="198" w:right="113"/>
        <w:shd w:val="clear" w:color="auto" w:fill="FEF6E7"/>
        <w:pBdr>
          <w:left w:val="single" w:sz="18" w:space="6" w:color="B45309"/>
        </w:pBdr>
        <w:keepNext/>
      </w:pPr>
      <w:r>
        <w:rPr>
          <w:b/>
          <w:color w:val="7C2D12"/>
          <w:sz w:val="19"/>
        </w:rPr>
        <w:t>How to read this document</w:t>
      </w:r>
    </w:p>
    <w:p>
      <w:pPr>
        <w:spacing w:before="0" w:after="200"/>
        <w:ind w:left="198" w:right="113"/>
        <w:shd w:val="clear" w:color="auto" w:fill="FEF6E7"/>
        <w:pBdr>
          <w:left w:val="single" w:sz="18" w:space="6" w:color="B45309"/>
        </w:pBdr>
      </w:pPr>
      <w:r>
        <w:rPr>
          <w:color w:val="432B15"/>
          <w:sz w:val="19"/>
        </w:rPr>
        <w:t>Sections 1 to 4 describe the system as it exists in code. Where a component is referenced by the code but not present in the folder that was reviewed, it is reconstructed from its call sites and marked explicitly as inferred — never presented as verified fact. Section 5 specifies the Model Context Protocol server and is accompanied by a runnable implementation. Sections 6 and 7 set out future scope and goals, and are proposals rather than commitments.</w:t>
      </w:r>
    </w:p>
    <w:p>
      <w:r>
        <w:br w:type="page"/>
      </w:r>
    </w:p>
    <w:p>
      <w:pPr>
        <w:pStyle w:val="Heading1"/>
        <w:pBdr>
          <w:bottom w:val="single" w:sz="8" w:space="6" w:color="C7D2DE"/>
        </w:pBdr>
      </w:pPr>
      <w:r>
        <w:t>Contents</w:t>
      </w:r>
    </w:p>
    <w:p>
      <w:pPr>
        <w:tabs>
          <w:tab w:pos="9411" w:val="right" w:leader="dot"/>
        </w:tabs>
        <w:spacing w:before="120" w:after="40" w:line="240" w:lineRule="auto"/>
        <w:ind w:left="0"/>
      </w:pPr>
      <w:r>
        <w:rPr>
          <w:b/>
          <w:color w:val="14304A"/>
          <w:sz w:val="21"/>
        </w:rPr>
        <w:t>1  Introduction</w:t>
      </w:r>
      <w:r>
        <w:rPr>
          <w:color w:val="6B7280"/>
          <w:sz w:val="19"/>
        </w:rPr>
        <w:tab/>
        <w:t>4</w:t>
      </w:r>
    </w:p>
    <w:p>
      <w:pPr>
        <w:tabs>
          <w:tab w:pos="9411" w:val="right" w:leader="dot"/>
        </w:tabs>
        <w:spacing w:before="0" w:after="40" w:line="240" w:lineRule="auto"/>
        <w:ind w:left="482"/>
      </w:pPr>
      <w:r>
        <w:rPr>
          <w:b w:val="0"/>
          <w:color w:val="455569"/>
          <w:sz w:val="20"/>
        </w:rPr>
        <w:t>1.1  What heyBro is</w:t>
      </w:r>
      <w:r>
        <w:rPr>
          <w:color w:val="6B7280"/>
          <w:sz w:val="19"/>
        </w:rPr>
        <w:tab/>
        <w:t>4</w:t>
      </w:r>
    </w:p>
    <w:p>
      <w:pPr>
        <w:tabs>
          <w:tab w:pos="9411" w:val="right" w:leader="dot"/>
        </w:tabs>
        <w:spacing w:before="0" w:after="40" w:line="240" w:lineRule="auto"/>
        <w:ind w:left="482"/>
      </w:pPr>
      <w:r>
        <w:rPr>
          <w:b w:val="0"/>
          <w:color w:val="455569"/>
          <w:sz w:val="20"/>
        </w:rPr>
        <w:t>1.2  The problem it addresses</w:t>
      </w:r>
      <w:r>
        <w:rPr>
          <w:color w:val="6B7280"/>
          <w:sz w:val="19"/>
        </w:rPr>
        <w:tab/>
        <w:t>4</w:t>
      </w:r>
    </w:p>
    <w:p>
      <w:pPr>
        <w:tabs>
          <w:tab w:pos="9411" w:val="right" w:leader="dot"/>
        </w:tabs>
        <w:spacing w:before="0" w:after="40" w:line="240" w:lineRule="auto"/>
        <w:ind w:left="482"/>
      </w:pPr>
      <w:r>
        <w:rPr>
          <w:b w:val="0"/>
          <w:color w:val="455569"/>
          <w:sz w:val="20"/>
        </w:rPr>
        <w:t>1.3  Design philosophy: provenance over confidence</w:t>
      </w:r>
      <w:r>
        <w:rPr>
          <w:color w:val="6B7280"/>
          <w:sz w:val="19"/>
        </w:rPr>
        <w:tab/>
        <w:t>4</w:t>
      </w:r>
    </w:p>
    <w:p>
      <w:pPr>
        <w:tabs>
          <w:tab w:pos="9411" w:val="right" w:leader="dot"/>
        </w:tabs>
        <w:spacing w:before="0" w:after="40" w:line="240" w:lineRule="auto"/>
        <w:ind w:left="482"/>
      </w:pPr>
      <w:r>
        <w:rPr>
          <w:b w:val="0"/>
          <w:color w:val="455569"/>
          <w:sz w:val="20"/>
        </w:rPr>
        <w:t>1.4  Scope and evidence basis</w:t>
      </w:r>
      <w:r>
        <w:rPr>
          <w:color w:val="6B7280"/>
          <w:sz w:val="19"/>
        </w:rPr>
        <w:tab/>
        <w:t>5</w:t>
      </w:r>
    </w:p>
    <w:p>
      <w:pPr>
        <w:tabs>
          <w:tab w:pos="9411" w:val="right" w:leader="dot"/>
        </w:tabs>
        <w:spacing w:before="120" w:after="40" w:line="240" w:lineRule="auto"/>
        <w:ind w:left="0"/>
      </w:pPr>
      <w:r>
        <w:rPr>
          <w:b/>
          <w:color w:val="14304A"/>
          <w:sz w:val="21"/>
        </w:rPr>
        <w:t>2  System architecture</w:t>
      </w:r>
      <w:r>
        <w:rPr>
          <w:color w:val="6B7280"/>
          <w:sz w:val="19"/>
        </w:rPr>
        <w:tab/>
        <w:t>6</w:t>
      </w:r>
    </w:p>
    <w:p>
      <w:pPr>
        <w:tabs>
          <w:tab w:pos="9411" w:val="right" w:leader="dot"/>
        </w:tabs>
        <w:spacing w:before="0" w:after="40" w:line="240" w:lineRule="auto"/>
        <w:ind w:left="482"/>
      </w:pPr>
      <w:r>
        <w:rPr>
          <w:b w:val="0"/>
          <w:color w:val="455569"/>
          <w:sz w:val="20"/>
        </w:rPr>
        <w:t>2.1  Layered view</w:t>
      </w:r>
      <w:r>
        <w:rPr>
          <w:color w:val="6B7280"/>
          <w:sz w:val="19"/>
        </w:rPr>
        <w:tab/>
        <w:t>6</w:t>
      </w:r>
    </w:p>
    <w:p>
      <w:pPr>
        <w:tabs>
          <w:tab w:pos="9411" w:val="right" w:leader="dot"/>
        </w:tabs>
        <w:spacing w:before="0" w:after="40" w:line="240" w:lineRule="auto"/>
        <w:ind w:left="482"/>
      </w:pPr>
      <w:r>
        <w:rPr>
          <w:b w:val="0"/>
          <w:color w:val="455569"/>
          <w:sz w:val="20"/>
        </w:rPr>
        <w:t>2.2  The tool-call convention</w:t>
      </w:r>
      <w:r>
        <w:rPr>
          <w:color w:val="6B7280"/>
          <w:sz w:val="19"/>
        </w:rPr>
        <w:tab/>
        <w:t>6</w:t>
      </w:r>
    </w:p>
    <w:p>
      <w:pPr>
        <w:tabs>
          <w:tab w:pos="9411" w:val="right" w:leader="dot"/>
        </w:tabs>
        <w:spacing w:before="0" w:after="40" w:line="240" w:lineRule="auto"/>
        <w:ind w:left="482"/>
      </w:pPr>
      <w:r>
        <w:rPr>
          <w:b w:val="0"/>
          <w:color w:val="455569"/>
          <w:sz w:val="20"/>
        </w:rPr>
        <w:t>2.3  Request lifecycle</w:t>
      </w:r>
      <w:r>
        <w:rPr>
          <w:color w:val="6B7280"/>
          <w:sz w:val="19"/>
        </w:rPr>
        <w:tab/>
        <w:t>6</w:t>
      </w:r>
    </w:p>
    <w:p>
      <w:pPr>
        <w:tabs>
          <w:tab w:pos="9411" w:val="right" w:leader="dot"/>
        </w:tabs>
        <w:spacing w:before="0" w:after="40" w:line="240" w:lineRule="auto"/>
        <w:ind w:left="482"/>
      </w:pPr>
      <w:r>
        <w:rPr>
          <w:b w:val="0"/>
          <w:color w:val="455569"/>
          <w:sz w:val="20"/>
        </w:rPr>
        <w:t>2.4  The provenance model</w:t>
      </w:r>
      <w:r>
        <w:rPr>
          <w:color w:val="6B7280"/>
          <w:sz w:val="19"/>
        </w:rPr>
        <w:tab/>
        <w:t>7</w:t>
      </w:r>
    </w:p>
    <w:p>
      <w:pPr>
        <w:tabs>
          <w:tab w:pos="9411" w:val="right" w:leader="dot"/>
        </w:tabs>
        <w:spacing w:before="0" w:after="40" w:line="240" w:lineRule="auto"/>
        <w:ind w:left="482"/>
      </w:pPr>
      <w:r>
        <w:rPr>
          <w:b w:val="0"/>
          <w:color w:val="455569"/>
          <w:sz w:val="20"/>
        </w:rPr>
        <w:t>2.5  Failure isolation</w:t>
      </w:r>
      <w:r>
        <w:rPr>
          <w:color w:val="6B7280"/>
          <w:sz w:val="19"/>
        </w:rPr>
        <w:tab/>
        <w:t>7</w:t>
      </w:r>
    </w:p>
    <w:p>
      <w:pPr>
        <w:tabs>
          <w:tab w:pos="9411" w:val="right" w:leader="dot"/>
        </w:tabs>
        <w:spacing w:before="0" w:after="40" w:line="240" w:lineRule="auto"/>
        <w:ind w:left="482"/>
      </w:pPr>
      <w:r>
        <w:rPr>
          <w:b w:val="0"/>
          <w:color w:val="455569"/>
          <w:sz w:val="20"/>
        </w:rPr>
        <w:t>2.6  Offline-first delivery</w:t>
      </w:r>
      <w:r>
        <w:rPr>
          <w:color w:val="6B7280"/>
          <w:sz w:val="19"/>
        </w:rPr>
        <w:tab/>
        <w:t>8</w:t>
      </w:r>
    </w:p>
    <w:p>
      <w:pPr>
        <w:tabs>
          <w:tab w:pos="9411" w:val="right" w:leader="dot"/>
        </w:tabs>
        <w:spacing w:before="120" w:after="40" w:line="240" w:lineRule="auto"/>
        <w:ind w:left="0"/>
      </w:pPr>
      <w:r>
        <w:rPr>
          <w:b/>
          <w:color w:val="14304A"/>
          <w:sz w:val="21"/>
        </w:rPr>
        <w:t>3  Module reference</w:t>
      </w:r>
      <w:r>
        <w:rPr>
          <w:color w:val="6B7280"/>
          <w:sz w:val="19"/>
        </w:rPr>
        <w:tab/>
        <w:t>9</w:t>
      </w:r>
    </w:p>
    <w:p>
      <w:pPr>
        <w:tabs>
          <w:tab w:pos="9411" w:val="right" w:leader="dot"/>
        </w:tabs>
        <w:spacing w:before="0" w:after="40" w:line="240" w:lineRule="auto"/>
        <w:ind w:left="482"/>
      </w:pPr>
      <w:r>
        <w:rPr>
          <w:b w:val="0"/>
          <w:color w:val="455569"/>
          <w:sz w:val="20"/>
        </w:rPr>
        <w:t>3.1  services/live_service.py</w:t>
      </w:r>
      <w:r>
        <w:rPr>
          <w:color w:val="6B7280"/>
          <w:sz w:val="19"/>
        </w:rPr>
        <w:tab/>
        <w:t>9</w:t>
      </w:r>
    </w:p>
    <w:p>
      <w:pPr>
        <w:tabs>
          <w:tab w:pos="9411" w:val="right" w:leader="dot"/>
        </w:tabs>
        <w:spacing w:before="0" w:after="40" w:line="240" w:lineRule="auto"/>
        <w:ind w:left="482"/>
      </w:pPr>
      <w:r>
        <w:rPr>
          <w:b w:val="0"/>
          <w:color w:val="455569"/>
          <w:sz w:val="20"/>
        </w:rPr>
        <w:t>3.2  static/js/live.js</w:t>
      </w:r>
      <w:r>
        <w:rPr>
          <w:color w:val="6B7280"/>
          <w:sz w:val="19"/>
        </w:rPr>
        <w:tab/>
        <w:t>11</w:t>
      </w:r>
    </w:p>
    <w:p>
      <w:pPr>
        <w:tabs>
          <w:tab w:pos="9411" w:val="right" w:leader="dot"/>
        </w:tabs>
        <w:spacing w:before="0" w:after="40" w:line="240" w:lineRule="auto"/>
        <w:ind w:left="482"/>
      </w:pPr>
      <w:r>
        <w:rPr>
          <w:b w:val="0"/>
          <w:color w:val="455569"/>
          <w:sz w:val="20"/>
        </w:rPr>
        <w:t>3.3  static/js/sw.js</w:t>
      </w:r>
      <w:r>
        <w:rPr>
          <w:color w:val="6B7280"/>
          <w:sz w:val="19"/>
        </w:rPr>
        <w:tab/>
        <w:t>12</w:t>
      </w:r>
    </w:p>
    <w:p>
      <w:pPr>
        <w:tabs>
          <w:tab w:pos="9411" w:val="right" w:leader="dot"/>
        </w:tabs>
        <w:spacing w:before="0" w:after="40" w:line="240" w:lineRule="auto"/>
        <w:ind w:left="482"/>
      </w:pPr>
      <w:r>
        <w:rPr>
          <w:b w:val="0"/>
          <w:color w:val="455569"/>
          <w:sz w:val="20"/>
        </w:rPr>
        <w:t>3.4  tests/test_providers.py</w:t>
      </w:r>
      <w:r>
        <w:rPr>
          <w:color w:val="6B7280"/>
          <w:sz w:val="19"/>
        </w:rPr>
        <w:tab/>
        <w:t>12</w:t>
      </w:r>
    </w:p>
    <w:p>
      <w:pPr>
        <w:tabs>
          <w:tab w:pos="9411" w:val="right" w:leader="dot"/>
        </w:tabs>
        <w:spacing w:before="0" w:after="40" w:line="240" w:lineRule="auto"/>
        <w:ind w:left="482"/>
      </w:pPr>
      <w:r>
        <w:rPr>
          <w:b w:val="0"/>
          <w:color w:val="455569"/>
          <w:sz w:val="20"/>
        </w:rPr>
        <w:t>3.5  Components referenced but not present</w:t>
      </w:r>
      <w:r>
        <w:rPr>
          <w:color w:val="6B7280"/>
          <w:sz w:val="19"/>
        </w:rPr>
        <w:tab/>
        <w:t>13</w:t>
      </w:r>
    </w:p>
    <w:p>
      <w:pPr>
        <w:tabs>
          <w:tab w:pos="9411" w:val="right" w:leader="dot"/>
        </w:tabs>
        <w:spacing w:before="120" w:after="40" w:line="240" w:lineRule="auto"/>
        <w:ind w:left="0"/>
      </w:pPr>
      <w:r>
        <w:rPr>
          <w:b/>
          <w:color w:val="14304A"/>
          <w:sz w:val="21"/>
        </w:rPr>
        <w:t>4  Configuration and operations</w:t>
      </w:r>
      <w:r>
        <w:rPr>
          <w:color w:val="6B7280"/>
          <w:sz w:val="19"/>
        </w:rPr>
        <w:tab/>
        <w:t>14</w:t>
      </w:r>
    </w:p>
    <w:p>
      <w:pPr>
        <w:tabs>
          <w:tab w:pos="9411" w:val="right" w:leader="dot"/>
        </w:tabs>
        <w:spacing w:before="0" w:after="40" w:line="240" w:lineRule="auto"/>
        <w:ind w:left="482"/>
      </w:pPr>
      <w:r>
        <w:rPr>
          <w:b w:val="0"/>
          <w:color w:val="455569"/>
          <w:sz w:val="20"/>
        </w:rPr>
        <w:t>4.1  Configuration keys</w:t>
      </w:r>
      <w:r>
        <w:rPr>
          <w:color w:val="6B7280"/>
          <w:sz w:val="19"/>
        </w:rPr>
        <w:tab/>
        <w:t>14</w:t>
      </w:r>
    </w:p>
    <w:p>
      <w:pPr>
        <w:tabs>
          <w:tab w:pos="9411" w:val="right" w:leader="dot"/>
        </w:tabs>
        <w:spacing w:before="0" w:after="40" w:line="240" w:lineRule="auto"/>
        <w:ind w:left="482"/>
      </w:pPr>
      <w:r>
        <w:rPr>
          <w:b w:val="0"/>
          <w:color w:val="455569"/>
          <w:sz w:val="20"/>
        </w:rPr>
        <w:t>4.2  Cache policy</w:t>
      </w:r>
      <w:r>
        <w:rPr>
          <w:color w:val="6B7280"/>
          <w:sz w:val="19"/>
        </w:rPr>
        <w:tab/>
        <w:t>14</w:t>
      </w:r>
    </w:p>
    <w:p>
      <w:pPr>
        <w:tabs>
          <w:tab w:pos="9411" w:val="right" w:leader="dot"/>
        </w:tabs>
        <w:spacing w:before="0" w:after="40" w:line="240" w:lineRule="auto"/>
        <w:ind w:left="482"/>
      </w:pPr>
      <w:r>
        <w:rPr>
          <w:b w:val="0"/>
          <w:color w:val="455569"/>
          <w:sz w:val="20"/>
        </w:rPr>
        <w:t>4.3  Provider etiquette</w:t>
      </w:r>
      <w:r>
        <w:rPr>
          <w:color w:val="6B7280"/>
          <w:sz w:val="19"/>
        </w:rPr>
        <w:tab/>
        <w:t>14</w:t>
      </w:r>
    </w:p>
    <w:p>
      <w:pPr>
        <w:tabs>
          <w:tab w:pos="9411" w:val="right" w:leader="dot"/>
        </w:tabs>
        <w:spacing w:before="0" w:after="40" w:line="240" w:lineRule="auto"/>
        <w:ind w:left="482"/>
      </w:pPr>
      <w:r>
        <w:rPr>
          <w:b w:val="0"/>
          <w:color w:val="455569"/>
          <w:sz w:val="20"/>
        </w:rPr>
        <w:t>4.4  Running the test suite</w:t>
      </w:r>
      <w:r>
        <w:rPr>
          <w:color w:val="6B7280"/>
          <w:sz w:val="19"/>
        </w:rPr>
        <w:tab/>
        <w:t>15</w:t>
      </w:r>
    </w:p>
    <w:p>
      <w:pPr>
        <w:tabs>
          <w:tab w:pos="9411" w:val="right" w:leader="dot"/>
        </w:tabs>
        <w:spacing w:before="120" w:after="40" w:line="240" w:lineRule="auto"/>
        <w:ind w:left="0"/>
      </w:pPr>
      <w:r>
        <w:rPr>
          <w:b/>
          <w:color w:val="14304A"/>
          <w:sz w:val="21"/>
        </w:rPr>
        <w:t>5  Exposing heyBro through the Model Context Protocol</w:t>
      </w:r>
      <w:r>
        <w:rPr>
          <w:color w:val="6B7280"/>
          <w:sz w:val="19"/>
        </w:rPr>
        <w:tab/>
        <w:t>16</w:t>
      </w:r>
    </w:p>
    <w:p>
      <w:pPr>
        <w:tabs>
          <w:tab w:pos="9411" w:val="right" w:leader="dot"/>
        </w:tabs>
        <w:spacing w:before="0" w:after="40" w:line="240" w:lineRule="auto"/>
        <w:ind w:left="482"/>
      </w:pPr>
      <w:r>
        <w:rPr>
          <w:b w:val="0"/>
          <w:color w:val="455569"/>
          <w:sz w:val="20"/>
        </w:rPr>
        <w:t>5.1  Why this codebase is already MCP-shaped</w:t>
      </w:r>
      <w:r>
        <w:rPr>
          <w:color w:val="6B7280"/>
          <w:sz w:val="19"/>
        </w:rPr>
        <w:tab/>
        <w:t>16</w:t>
      </w:r>
    </w:p>
    <w:p>
      <w:pPr>
        <w:tabs>
          <w:tab w:pos="9411" w:val="right" w:leader="dot"/>
        </w:tabs>
        <w:spacing w:before="0" w:after="40" w:line="240" w:lineRule="auto"/>
        <w:ind w:left="482"/>
      </w:pPr>
      <w:r>
        <w:rPr>
          <w:b w:val="0"/>
          <w:color w:val="455569"/>
          <w:sz w:val="20"/>
        </w:rPr>
        <w:t>5.2  What MCP adds</w:t>
      </w:r>
      <w:r>
        <w:rPr>
          <w:color w:val="6B7280"/>
          <w:sz w:val="19"/>
        </w:rPr>
        <w:tab/>
        <w:t>16</w:t>
      </w:r>
    </w:p>
    <w:p>
      <w:pPr>
        <w:tabs>
          <w:tab w:pos="9411" w:val="right" w:leader="dot"/>
        </w:tabs>
        <w:spacing w:before="0" w:after="40" w:line="240" w:lineRule="auto"/>
        <w:ind w:left="482"/>
      </w:pPr>
      <w:r>
        <w:rPr>
          <w:b w:val="0"/>
          <w:color w:val="455569"/>
          <w:sz w:val="20"/>
        </w:rPr>
        <w:t>5.3  Server design</w:t>
      </w:r>
      <w:r>
        <w:rPr>
          <w:color w:val="6B7280"/>
          <w:sz w:val="19"/>
        </w:rPr>
        <w:tab/>
        <w:t>16</w:t>
      </w:r>
    </w:p>
    <w:p>
      <w:pPr>
        <w:tabs>
          <w:tab w:pos="9411" w:val="right" w:leader="dot"/>
        </w:tabs>
        <w:spacing w:before="0" w:after="40" w:line="240" w:lineRule="auto"/>
        <w:ind w:left="482"/>
      </w:pPr>
      <w:r>
        <w:rPr>
          <w:b w:val="0"/>
          <w:color w:val="455569"/>
          <w:sz w:val="20"/>
        </w:rPr>
        <w:t>5.4  Tool catalogue</w:t>
      </w:r>
      <w:r>
        <w:rPr>
          <w:color w:val="6B7280"/>
          <w:sz w:val="19"/>
        </w:rPr>
        <w:tab/>
        <w:t>17</w:t>
      </w:r>
    </w:p>
    <w:p>
      <w:pPr>
        <w:tabs>
          <w:tab w:pos="9411" w:val="right" w:leader="dot"/>
        </w:tabs>
        <w:spacing w:before="0" w:after="40" w:line="240" w:lineRule="auto"/>
        <w:ind w:left="482"/>
      </w:pPr>
      <w:r>
        <w:rPr>
          <w:b w:val="0"/>
          <w:color w:val="455569"/>
          <w:sz w:val="20"/>
        </w:rPr>
        <w:t>5.5  Failure contract</w:t>
      </w:r>
      <w:r>
        <w:rPr>
          <w:color w:val="6B7280"/>
          <w:sz w:val="19"/>
        </w:rPr>
        <w:tab/>
        <w:t>18</w:t>
      </w:r>
    </w:p>
    <w:p>
      <w:pPr>
        <w:tabs>
          <w:tab w:pos="9411" w:val="right" w:leader="dot"/>
        </w:tabs>
        <w:spacing w:before="0" w:after="40" w:line="240" w:lineRule="auto"/>
        <w:ind w:left="482"/>
      </w:pPr>
      <w:r>
        <w:rPr>
          <w:b w:val="0"/>
          <w:color w:val="455569"/>
          <w:sz w:val="20"/>
        </w:rPr>
        <w:t>5.6  The derived risk model</w:t>
      </w:r>
      <w:r>
        <w:rPr>
          <w:color w:val="6B7280"/>
          <w:sz w:val="19"/>
        </w:rPr>
        <w:tab/>
        <w:t>18</w:t>
      </w:r>
    </w:p>
    <w:p>
      <w:pPr>
        <w:tabs>
          <w:tab w:pos="9411" w:val="right" w:leader="dot"/>
        </w:tabs>
        <w:spacing w:before="0" w:after="40" w:line="240" w:lineRule="auto"/>
        <w:ind w:left="482"/>
      </w:pPr>
      <w:r>
        <w:rPr>
          <w:b w:val="0"/>
          <w:color w:val="455569"/>
          <w:sz w:val="20"/>
        </w:rPr>
        <w:t>5.7  Resources and prompts</w:t>
      </w:r>
      <w:r>
        <w:rPr>
          <w:color w:val="6B7280"/>
          <w:sz w:val="19"/>
        </w:rPr>
        <w:tab/>
        <w:t>19</w:t>
      </w:r>
    </w:p>
    <w:p>
      <w:pPr>
        <w:tabs>
          <w:tab w:pos="9411" w:val="right" w:leader="dot"/>
        </w:tabs>
        <w:spacing w:before="0" w:after="40" w:line="240" w:lineRule="auto"/>
        <w:ind w:left="482"/>
      </w:pPr>
      <w:r>
        <w:rPr>
          <w:b w:val="0"/>
          <w:color w:val="455569"/>
          <w:sz w:val="20"/>
        </w:rPr>
        <w:t>5.8  Transport and deployment</w:t>
      </w:r>
      <w:r>
        <w:rPr>
          <w:color w:val="6B7280"/>
          <w:sz w:val="19"/>
        </w:rPr>
        <w:tab/>
        <w:t>19</w:t>
      </w:r>
    </w:p>
    <w:p>
      <w:pPr>
        <w:tabs>
          <w:tab w:pos="9411" w:val="right" w:leader="dot"/>
        </w:tabs>
        <w:spacing w:before="0" w:after="40" w:line="240" w:lineRule="auto"/>
        <w:ind w:left="482"/>
      </w:pPr>
      <w:r>
        <w:rPr>
          <w:b w:val="0"/>
          <w:color w:val="455569"/>
          <w:sz w:val="20"/>
        </w:rPr>
        <w:t>5.9  Installing as a plugin</w:t>
      </w:r>
      <w:r>
        <w:rPr>
          <w:color w:val="6B7280"/>
          <w:sz w:val="19"/>
        </w:rPr>
        <w:tab/>
        <w:t>19</w:t>
      </w:r>
    </w:p>
    <w:p>
      <w:pPr>
        <w:tabs>
          <w:tab w:pos="9411" w:val="right" w:leader="dot"/>
        </w:tabs>
        <w:spacing w:before="0" w:after="40" w:line="240" w:lineRule="auto"/>
        <w:ind w:left="482"/>
      </w:pPr>
      <w:r>
        <w:rPr>
          <w:b w:val="0"/>
          <w:color w:val="455569"/>
          <w:sz w:val="20"/>
        </w:rPr>
        <w:t>5.10  Testing the MCP surface</w:t>
      </w:r>
      <w:r>
        <w:rPr>
          <w:color w:val="6B7280"/>
          <w:sz w:val="19"/>
        </w:rPr>
        <w:tab/>
        <w:t>20</w:t>
      </w:r>
    </w:p>
    <w:p>
      <w:pPr>
        <w:tabs>
          <w:tab w:pos="9411" w:val="right" w:leader="dot"/>
        </w:tabs>
        <w:spacing w:before="0" w:after="40" w:line="240" w:lineRule="auto"/>
        <w:ind w:left="482"/>
      </w:pPr>
      <w:r>
        <w:rPr>
          <w:b w:val="0"/>
          <w:color w:val="455569"/>
          <w:sz w:val="20"/>
        </w:rPr>
        <w:t>5.11  Known limits of the scaffold</w:t>
      </w:r>
      <w:r>
        <w:rPr>
          <w:color w:val="6B7280"/>
          <w:sz w:val="19"/>
        </w:rPr>
        <w:tab/>
        <w:t>20</w:t>
      </w:r>
    </w:p>
    <w:p>
      <w:pPr>
        <w:tabs>
          <w:tab w:pos="9411" w:val="right" w:leader="dot"/>
        </w:tabs>
        <w:spacing w:before="120" w:after="40" w:line="240" w:lineRule="auto"/>
        <w:ind w:left="0"/>
      </w:pPr>
      <w:r>
        <w:rPr>
          <w:b/>
          <w:color w:val="14304A"/>
          <w:sz w:val="21"/>
        </w:rPr>
        <w:t>6  Future scope</w:t>
      </w:r>
      <w:r>
        <w:rPr>
          <w:color w:val="6B7280"/>
          <w:sz w:val="19"/>
        </w:rPr>
        <w:tab/>
        <w:t>21</w:t>
      </w:r>
    </w:p>
    <w:p>
      <w:pPr>
        <w:tabs>
          <w:tab w:pos="9411" w:val="right" w:leader="dot"/>
        </w:tabs>
        <w:spacing w:before="0" w:after="40" w:line="240" w:lineRule="auto"/>
        <w:ind w:left="482"/>
      </w:pPr>
      <w:r>
        <w:rPr>
          <w:b w:val="0"/>
          <w:color w:val="455569"/>
          <w:sz w:val="20"/>
        </w:rPr>
        <w:t>6.1  Phase one — correctness and coverage of what exists</w:t>
      </w:r>
      <w:r>
        <w:rPr>
          <w:color w:val="6B7280"/>
          <w:sz w:val="19"/>
        </w:rPr>
        <w:tab/>
        <w:t>21</w:t>
      </w:r>
    </w:p>
    <w:p>
      <w:pPr>
        <w:tabs>
          <w:tab w:pos="9411" w:val="right" w:leader="dot"/>
        </w:tabs>
        <w:spacing w:before="0" w:after="40" w:line="240" w:lineRule="auto"/>
        <w:ind w:left="482"/>
      </w:pPr>
      <w:r>
        <w:rPr>
          <w:b w:val="0"/>
          <w:color w:val="455569"/>
          <w:sz w:val="20"/>
        </w:rPr>
        <w:t>6.2  Phase two — routes instead of points</w:t>
      </w:r>
      <w:r>
        <w:rPr>
          <w:color w:val="6B7280"/>
          <w:sz w:val="19"/>
        </w:rPr>
        <w:tab/>
        <w:t>21</w:t>
      </w:r>
    </w:p>
    <w:p>
      <w:pPr>
        <w:tabs>
          <w:tab w:pos="9411" w:val="right" w:leader="dot"/>
        </w:tabs>
        <w:spacing w:before="0" w:after="40" w:line="240" w:lineRule="auto"/>
        <w:ind w:left="482"/>
      </w:pPr>
      <w:r>
        <w:rPr>
          <w:b w:val="0"/>
          <w:color w:val="455569"/>
          <w:sz w:val="20"/>
        </w:rPr>
        <w:t>6.3  Phase three — provider breadth</w:t>
      </w:r>
      <w:r>
        <w:rPr>
          <w:color w:val="6B7280"/>
          <w:sz w:val="19"/>
        </w:rPr>
        <w:tab/>
        <w:t>22</w:t>
      </w:r>
    </w:p>
    <w:p>
      <w:pPr>
        <w:tabs>
          <w:tab w:pos="9411" w:val="right" w:leader="dot"/>
        </w:tabs>
        <w:spacing w:before="0" w:after="40" w:line="240" w:lineRule="auto"/>
        <w:ind w:left="482"/>
      </w:pPr>
      <w:r>
        <w:rPr>
          <w:b w:val="0"/>
          <w:color w:val="455569"/>
          <w:sz w:val="20"/>
        </w:rPr>
        <w:t>6.4  Phase four — the MCP surface as a product</w:t>
      </w:r>
      <w:r>
        <w:rPr>
          <w:color w:val="6B7280"/>
          <w:sz w:val="19"/>
        </w:rPr>
        <w:tab/>
        <w:t>22</w:t>
      </w:r>
    </w:p>
    <w:p>
      <w:pPr>
        <w:tabs>
          <w:tab w:pos="9411" w:val="right" w:leader="dot"/>
        </w:tabs>
        <w:spacing w:before="0" w:after="40" w:line="240" w:lineRule="auto"/>
        <w:ind w:left="482"/>
      </w:pPr>
      <w:r>
        <w:rPr>
          <w:b w:val="0"/>
          <w:color w:val="455569"/>
          <w:sz w:val="20"/>
        </w:rPr>
        <w:t>6.5  Longer-horizon opportunities</w:t>
      </w:r>
      <w:r>
        <w:rPr>
          <w:color w:val="6B7280"/>
          <w:sz w:val="19"/>
        </w:rPr>
        <w:tab/>
        <w:t>23</w:t>
      </w:r>
    </w:p>
    <w:p>
      <w:pPr>
        <w:tabs>
          <w:tab w:pos="9411" w:val="right" w:leader="dot"/>
        </w:tabs>
        <w:spacing w:before="120" w:after="40" w:line="240" w:lineRule="auto"/>
        <w:ind w:left="0"/>
      </w:pPr>
      <w:r>
        <w:rPr>
          <w:b/>
          <w:color w:val="14304A"/>
          <w:sz w:val="21"/>
        </w:rPr>
        <w:t>7  Goals and success metrics</w:t>
      </w:r>
      <w:r>
        <w:rPr>
          <w:color w:val="6B7280"/>
          <w:sz w:val="19"/>
        </w:rPr>
        <w:tab/>
        <w:t>24</w:t>
      </w:r>
    </w:p>
    <w:p>
      <w:pPr>
        <w:tabs>
          <w:tab w:pos="9411" w:val="right" w:leader="dot"/>
        </w:tabs>
        <w:spacing w:before="0" w:after="40" w:line="240" w:lineRule="auto"/>
        <w:ind w:left="482"/>
      </w:pPr>
      <w:r>
        <w:rPr>
          <w:b w:val="0"/>
          <w:color w:val="455569"/>
          <w:sz w:val="20"/>
        </w:rPr>
        <w:t>7.1  Product goals</w:t>
      </w:r>
      <w:r>
        <w:rPr>
          <w:color w:val="6B7280"/>
          <w:sz w:val="19"/>
        </w:rPr>
        <w:tab/>
        <w:t>24</w:t>
      </w:r>
    </w:p>
    <w:p>
      <w:pPr>
        <w:tabs>
          <w:tab w:pos="9411" w:val="right" w:leader="dot"/>
        </w:tabs>
        <w:spacing w:before="0" w:after="40" w:line="240" w:lineRule="auto"/>
        <w:ind w:left="482"/>
      </w:pPr>
      <w:r>
        <w:rPr>
          <w:b w:val="0"/>
          <w:color w:val="455569"/>
          <w:sz w:val="20"/>
        </w:rPr>
        <w:t>7.2  Engineering goals</w:t>
      </w:r>
      <w:r>
        <w:rPr>
          <w:color w:val="6B7280"/>
          <w:sz w:val="19"/>
        </w:rPr>
        <w:tab/>
        <w:t>24</w:t>
      </w:r>
    </w:p>
    <w:p>
      <w:pPr>
        <w:tabs>
          <w:tab w:pos="9411" w:val="right" w:leader="dot"/>
        </w:tabs>
        <w:spacing w:before="0" w:after="40" w:line="240" w:lineRule="auto"/>
        <w:ind w:left="482"/>
      </w:pPr>
      <w:r>
        <w:rPr>
          <w:b w:val="0"/>
          <w:color w:val="455569"/>
          <w:sz w:val="20"/>
        </w:rPr>
        <w:t>7.3  MCP adoption goals</w:t>
      </w:r>
      <w:r>
        <w:rPr>
          <w:color w:val="6B7280"/>
          <w:sz w:val="19"/>
        </w:rPr>
        <w:tab/>
        <w:t>24</w:t>
      </w:r>
    </w:p>
    <w:p>
      <w:pPr>
        <w:tabs>
          <w:tab w:pos="9411" w:val="right" w:leader="dot"/>
        </w:tabs>
        <w:spacing w:before="120" w:after="40" w:line="240" w:lineRule="auto"/>
        <w:ind w:left="0"/>
      </w:pPr>
      <w:r>
        <w:rPr>
          <w:b/>
          <w:color w:val="14304A"/>
          <w:sz w:val="21"/>
        </w:rPr>
        <w:t>8  Risks, limitations and responsibilities</w:t>
      </w:r>
      <w:r>
        <w:rPr>
          <w:color w:val="6B7280"/>
          <w:sz w:val="19"/>
        </w:rPr>
        <w:tab/>
        <w:t>25</w:t>
      </w:r>
    </w:p>
    <w:p>
      <w:pPr>
        <w:tabs>
          <w:tab w:pos="9411" w:val="right" w:leader="dot"/>
        </w:tabs>
        <w:spacing w:before="0" w:after="40" w:line="240" w:lineRule="auto"/>
        <w:ind w:left="482"/>
      </w:pPr>
      <w:r>
        <w:rPr>
          <w:b w:val="0"/>
          <w:color w:val="455569"/>
          <w:sz w:val="20"/>
        </w:rPr>
        <w:t>8.1  The safety-critical caveat</w:t>
      </w:r>
      <w:r>
        <w:rPr>
          <w:color w:val="6B7280"/>
          <w:sz w:val="19"/>
        </w:rPr>
        <w:tab/>
        <w:t>3</w:t>
      </w:r>
    </w:p>
    <w:p>
      <w:pPr>
        <w:tabs>
          <w:tab w:pos="9411" w:val="right" w:leader="dot"/>
        </w:tabs>
        <w:spacing w:before="0" w:after="40" w:line="240" w:lineRule="auto"/>
        <w:ind w:left="482"/>
      </w:pPr>
      <w:r>
        <w:rPr>
          <w:b w:val="0"/>
          <w:color w:val="455569"/>
          <w:sz w:val="20"/>
        </w:rPr>
        <w:t>8.2  Provider dependency</w:t>
      </w:r>
      <w:r>
        <w:rPr>
          <w:color w:val="6B7280"/>
          <w:sz w:val="19"/>
        </w:rPr>
        <w:tab/>
        <w:t>3</w:t>
      </w:r>
    </w:p>
    <w:p>
      <w:pPr>
        <w:tabs>
          <w:tab w:pos="9411" w:val="right" w:leader="dot"/>
        </w:tabs>
        <w:spacing w:before="0" w:after="40" w:line="240" w:lineRule="auto"/>
        <w:ind w:left="482"/>
      </w:pPr>
      <w:r>
        <w:rPr>
          <w:b w:val="0"/>
          <w:color w:val="455569"/>
          <w:sz w:val="20"/>
        </w:rPr>
        <w:t>8.3  Licensing and attribution</w:t>
      </w:r>
      <w:r>
        <w:rPr>
          <w:color w:val="6B7280"/>
          <w:sz w:val="19"/>
        </w:rPr>
        <w:tab/>
        <w:t>3</w:t>
      </w:r>
    </w:p>
    <w:p>
      <w:pPr>
        <w:tabs>
          <w:tab w:pos="9411" w:val="right" w:leader="dot"/>
        </w:tabs>
        <w:spacing w:before="0" w:after="40" w:line="240" w:lineRule="auto"/>
        <w:ind w:left="482"/>
      </w:pPr>
      <w:r>
        <w:rPr>
          <w:b w:val="0"/>
          <w:color w:val="455569"/>
          <w:sz w:val="20"/>
        </w:rPr>
        <w:t>8.4  Privacy</w:t>
      </w:r>
      <w:r>
        <w:rPr>
          <w:color w:val="6B7280"/>
          <w:sz w:val="19"/>
        </w:rPr>
        <w:tab/>
        <w:t>3</w:t>
      </w:r>
    </w:p>
    <w:p>
      <w:pPr>
        <w:tabs>
          <w:tab w:pos="9411" w:val="right" w:leader="dot"/>
        </w:tabs>
        <w:spacing w:before="0" w:after="40" w:line="240" w:lineRule="auto"/>
        <w:ind w:left="482"/>
      </w:pPr>
      <w:r>
        <w:rPr>
          <w:b w:val="0"/>
          <w:color w:val="455569"/>
          <w:sz w:val="20"/>
        </w:rPr>
        <w:t>8.5  Framing and liability</w:t>
      </w:r>
      <w:r>
        <w:rPr>
          <w:color w:val="6B7280"/>
          <w:sz w:val="19"/>
        </w:rPr>
        <w:tab/>
        <w:t>3</w:t>
      </w:r>
    </w:p>
    <w:p>
      <w:pPr>
        <w:tabs>
          <w:tab w:pos="9411" w:val="right" w:leader="dot"/>
        </w:tabs>
        <w:spacing w:before="120" w:after="40" w:line="240" w:lineRule="auto"/>
        <w:ind w:left="0"/>
      </w:pPr>
      <w:r>
        <w:rPr>
          <w:b/>
          <w:color w:val="14304A"/>
          <w:sz w:val="21"/>
        </w:rPr>
        <w:t>9  Appendices</w:t>
      </w:r>
      <w:r>
        <w:rPr>
          <w:color w:val="6B7280"/>
          <w:sz w:val="19"/>
        </w:rPr>
        <w:tab/>
        <w:t>3</w:t>
      </w:r>
    </w:p>
    <w:p>
      <w:pPr>
        <w:tabs>
          <w:tab w:pos="9411" w:val="right" w:leader="dot"/>
        </w:tabs>
        <w:spacing w:before="0" w:after="40" w:line="240" w:lineRule="auto"/>
        <w:ind w:left="482"/>
      </w:pPr>
      <w:r>
        <w:rPr>
          <w:b w:val="0"/>
          <w:color w:val="455569"/>
          <w:sz w:val="20"/>
        </w:rPr>
        <w:t>9.1  Appendix A — File inventory</w:t>
      </w:r>
      <w:r>
        <w:rPr>
          <w:color w:val="6B7280"/>
          <w:sz w:val="19"/>
        </w:rPr>
        <w:tab/>
        <w:t>3</w:t>
      </w:r>
    </w:p>
    <w:p>
      <w:pPr>
        <w:tabs>
          <w:tab w:pos="9411" w:val="right" w:leader="dot"/>
        </w:tabs>
        <w:spacing w:before="0" w:after="40" w:line="240" w:lineRule="auto"/>
        <w:ind w:left="482"/>
      </w:pPr>
      <w:r>
        <w:rPr>
          <w:b w:val="0"/>
          <w:color w:val="455569"/>
          <w:sz w:val="20"/>
        </w:rPr>
        <w:t>9.2  Appendix B — Environment variables</w:t>
      </w:r>
      <w:r>
        <w:rPr>
          <w:color w:val="6B7280"/>
          <w:sz w:val="19"/>
        </w:rPr>
        <w:tab/>
        <w:t>3</w:t>
      </w:r>
    </w:p>
    <w:p>
      <w:pPr>
        <w:tabs>
          <w:tab w:pos="9411" w:val="right" w:leader="dot"/>
        </w:tabs>
        <w:spacing w:before="0" w:after="40" w:line="240" w:lineRule="auto"/>
        <w:ind w:left="482"/>
      </w:pPr>
      <w:r>
        <w:rPr>
          <w:b w:val="0"/>
          <w:color w:val="455569"/>
          <w:sz w:val="20"/>
        </w:rPr>
        <w:t>9.3  Appendix C — Glossary</w:t>
      </w:r>
      <w:r>
        <w:rPr>
          <w:color w:val="6B7280"/>
          <w:sz w:val="19"/>
        </w:rPr>
        <w:tab/>
        <w:t>3</w:t>
      </w:r>
    </w:p>
    <w:p>
      <w:r>
        <w:br w:type="page"/>
      </w:r>
    </w:p>
    <w:p>
      <w:pPr>
        <w:pStyle w:val="Heading1"/>
        <w:pBdr>
          <w:bottom w:val="single" w:sz="8" w:space="6" w:color="C7D2DE"/>
        </w:pBdr>
      </w:pPr>
      <w:r>
        <w:t>1  Introduction</w:t>
      </w:r>
    </w:p>
    <w:p>
      <w:pPr>
        <w:pStyle w:val="Heading2"/>
      </w:pPr>
      <w:r>
        <w:t>1.1  What heyBro is</w:t>
      </w:r>
    </w:p>
    <w:p>
      <w:r>
        <w:rPr>
          <w:i w:val="0"/>
        </w:rPr>
        <w:t>heyBro is a travel-safety companion delivered as an installable progressive web application. It answers one question repeatedly and quickly: is it safe to be, or to go, at this point on the map right now? It answers by aggregating live public data — meteorological observations and forecasts, active natural-disaster events, government weather warnings and road-traffic incidents — into a single view for a single coordinate, and by continuing to function when the network does not.</w:t>
      </w:r>
    </w:p>
    <w:p>
      <w:r>
        <w:rPr>
          <w:i w:val="0"/>
        </w:rPr>
        <w:t>The system is deliberately small in dependency footprint. Its primary providers are free and require no API key, so a deployment can be stood up without commercial agreements and without a billing relationship that could fail at the worst moment. The one paid provider in the current code, TomTom for road incidents, is optional: its absence degrades the product honestly rather than breaking it.</w:t>
      </w:r>
    </w:p>
    <w:p>
      <w:pPr>
        <w:pStyle w:val="Heading2"/>
      </w:pPr>
      <w:r>
        <w:t>1.2  The problem it addresses</w:t>
      </w:r>
    </w:p>
    <w:p>
      <w:r>
        <w:rPr>
          <w:i w:val="0"/>
        </w:rPr>
        <w:t>Travel-risk information is abundant but fragmented and poorly timed. A traveller heading into the Eastern Himalaya during monsoon has to consult a meteorological department for rainfall warnings, a disaster-management authority for landslide and flood alerts, a state highway department for road closures, and a foreign ministry for advisories — each on a different website, in a different format, with different update cadences, and most of them unusable on an intermittent mobile connection in a valley. By the time the information matters most, it is hardest to reach.</w:t>
      </w:r>
    </w:p>
    <w:p>
      <w:r>
        <w:rPr>
          <w:i w:val="0"/>
        </w:rPr>
        <w:t>heyBro's answer is consolidation plus preloading. One coordinate yields one briefing drawn from several authorities, and the application shell, previously visited pages and the map tiles for a saved area are cached on the device beforehand, so the last known state is still legible when connectivity disappears.</w:t>
      </w:r>
    </w:p>
    <w:p>
      <w:pPr>
        <w:pStyle w:val="Heading2"/>
      </w:pPr>
      <w:r>
        <w:t>1.3  Design philosophy: provenance over confidence</w:t>
      </w:r>
    </w:p>
    <w:p>
      <w:r>
        <w:rPr>
          <w:i w:val="0"/>
        </w:rPr>
        <w:t>The single most consequential design decision in the codebase is that every piece of information carries a label describing where it came from and how much authority it has. The module docstring for the live service opens with the sentence “Nothing here is invented,” and the code honours it. An observed temperature is marked live. A seven-day outlook is marked forecast and described as a model prediction that can change. A threshold flag the application itself computed — heavy rain ahead, strong winds ahead — is marked derived and carries the explicit text “Computed from forecast thresholds — not an official warning.” Where no official feed exists for a country, the section does not quietly go blank; it is marked as not connected and offers links to the national authority instead.</w:t>
      </w:r>
    </w:p>
    <w:p>
      <w:r>
        <w:rPr>
          <w:i w:val="0"/>
        </w:rPr>
        <w:t>This matters because the product sits adjacent to life-safety decisions. A system that blurs the line between a government evacuation order and its own arithmetic over a rainfall number is dangerous in a way that a weather widget is not. The provenance discipline is what makes the rest of the architecture defensible, and it is the property that must be preserved most carefully when the system is exposed to language models through the Model Context Protocol, as Section 5 describes.</w:t>
      </w:r>
    </w:p>
    <w:p>
      <w:pPr>
        <w:pStyle w:val="Heading2"/>
      </w:pPr>
      <w:r>
        <w:t>1.4  Scope and evidence basis</w:t>
      </w:r>
    </w:p>
    <w:p>
      <w:r>
        <w:rPr>
          <w:i w:val="0"/>
        </w:rPr>
        <w:t>This document was written against four source files. They are the live-intelligence service, the front-end renderer for the live view, the service worker that provides offline capability, and the provider-resilience test suite. Together they describe the data spine of the product but not the whole of it.</w:t>
      </w:r>
    </w:p>
    <w:tbl>
      <w:tblPr>
        <w:tblStyle w:val="TableGrid"/>
        <w:tblW w:type="auto" w:w="0"/>
        <w:jc w:val="left"/>
        <w:tblLayout w:type="fixed"/>
        <w:tblLook w:firstColumn="1" w:firstRow="1" w:lastColumn="0" w:lastRow="0" w:noHBand="0" w:noVBand="1" w:val="04A0"/>
      </w:tblPr>
      <w:tblGrid>
        <w:gridCol w:w="2353"/>
        <w:gridCol w:w="2353"/>
        <w:gridCol w:w="2353"/>
        <w:gridCol w:w="2353"/>
      </w:tblGrid>
      <w:tr>
        <w:trPr>
          <w:tblHeader/>
        </w:trPr>
        <w:tc>
          <w:tcPr>
            <w:tcW w:type="dxa" w:w="2835"/>
            <w:shd w:val="clear" w:color="auto" w:fill="14304A"/>
          </w:tcPr>
          <w:p>
            <w:pPr>
              <w:spacing w:before="60" w:after="60"/>
            </w:pPr>
            <w:r/>
            <w:r>
              <w:rPr>
                <w:b/>
                <w:color w:val="FFFFFF"/>
                <w:sz w:val="17"/>
              </w:rPr>
              <w:t>File</w:t>
            </w:r>
          </w:p>
        </w:tc>
        <w:tc>
          <w:tcPr>
            <w:tcW w:type="dxa" w:w="737"/>
            <w:shd w:val="clear" w:color="auto" w:fill="14304A"/>
          </w:tcPr>
          <w:p>
            <w:pPr>
              <w:spacing w:before="60" w:after="60"/>
            </w:pPr>
            <w:r/>
            <w:r>
              <w:rPr>
                <w:b/>
                <w:color w:val="FFFFFF"/>
                <w:sz w:val="17"/>
              </w:rPr>
              <w:t>Lines</w:t>
            </w:r>
          </w:p>
        </w:tc>
        <w:tc>
          <w:tcPr>
            <w:tcW w:type="dxa" w:w="3572"/>
            <w:shd w:val="clear" w:color="auto" w:fill="14304A"/>
          </w:tcPr>
          <w:p>
            <w:pPr>
              <w:spacing w:before="60" w:after="60"/>
            </w:pPr>
            <w:r/>
            <w:r>
              <w:rPr>
                <w:b/>
                <w:color w:val="FFFFFF"/>
                <w:sz w:val="17"/>
              </w:rPr>
              <w:t>Role</w:t>
            </w:r>
          </w:p>
        </w:tc>
        <w:tc>
          <w:tcPr>
            <w:tcW w:type="dxa" w:w="2268"/>
            <w:shd w:val="clear" w:color="auto" w:fill="14304A"/>
          </w:tcPr>
          <w:p>
            <w:pPr>
              <w:spacing w:before="60" w:after="60"/>
            </w:pPr>
            <w:r/>
            <w:r>
              <w:rPr>
                <w:b/>
                <w:color w:val="FFFFFF"/>
                <w:sz w:val="17"/>
              </w:rPr>
              <w:t>Evidence</w:t>
            </w:r>
          </w:p>
        </w:tc>
      </w:tr>
      <w:tr>
        <w:trPr>
          <w:cantSplit/>
        </w:trPr>
        <w:tc>
          <w:tcPr>
            <w:tcW w:type="dxa" w:w="2835"/>
          </w:tcPr>
          <w:p>
            <w:pPr>
              <w:spacing w:before="50" w:after="50" w:line="259" w:lineRule="auto"/>
            </w:pPr>
            <w:r/>
            <w:r>
              <w:rPr>
                <w:sz w:val="17"/>
              </w:rPr>
              <w:t>services/live_service.py</w:t>
            </w:r>
          </w:p>
        </w:tc>
        <w:tc>
          <w:tcPr>
            <w:tcW w:type="dxa" w:w="737"/>
          </w:tcPr>
          <w:p>
            <w:pPr>
              <w:spacing w:before="50" w:after="50" w:line="259" w:lineRule="auto"/>
            </w:pPr>
            <w:r/>
            <w:r>
              <w:rPr>
                <w:sz w:val="17"/>
              </w:rPr>
              <w:t>263</w:t>
            </w:r>
          </w:p>
        </w:tc>
        <w:tc>
          <w:tcPr>
            <w:tcW w:type="dxa" w:w="3572"/>
          </w:tcPr>
          <w:p>
            <w:pPr>
              <w:spacing w:before="50" w:after="50" w:line="259" w:lineRule="auto"/>
            </w:pPr>
            <w:r/>
            <w:r>
              <w:rPr>
                <w:sz w:val="17"/>
              </w:rPr>
              <w:t>Provider aggregation, provenance labelling, derived alerts</w:t>
            </w:r>
          </w:p>
        </w:tc>
        <w:tc>
          <w:tcPr>
            <w:tcW w:type="dxa" w:w="2268"/>
          </w:tcPr>
          <w:p>
            <w:pPr>
              <w:spacing w:before="50" w:after="50" w:line="259" w:lineRule="auto"/>
            </w:pPr>
            <w:r/>
            <w:r>
              <w:rPr>
                <w:sz w:val="17"/>
              </w:rPr>
              <w:t>Read in full</w:t>
            </w:r>
          </w:p>
        </w:tc>
      </w:tr>
      <w:tr>
        <w:trPr>
          <w:cantSplit/>
        </w:trPr>
        <w:tc>
          <w:tcPr>
            <w:tcW w:type="dxa" w:w="2835"/>
            <w:shd w:val="clear" w:color="auto" w:fill="F1F5F9"/>
          </w:tcPr>
          <w:p>
            <w:pPr>
              <w:spacing w:before="50" w:after="50" w:line="259" w:lineRule="auto"/>
            </w:pPr>
            <w:r/>
            <w:r>
              <w:rPr>
                <w:sz w:val="17"/>
              </w:rPr>
              <w:t>static/js/live.js</w:t>
            </w:r>
          </w:p>
        </w:tc>
        <w:tc>
          <w:tcPr>
            <w:tcW w:type="dxa" w:w="737"/>
            <w:shd w:val="clear" w:color="auto" w:fill="F1F5F9"/>
          </w:tcPr>
          <w:p>
            <w:pPr>
              <w:spacing w:before="50" w:after="50" w:line="259" w:lineRule="auto"/>
            </w:pPr>
            <w:r/>
            <w:r>
              <w:rPr>
                <w:sz w:val="17"/>
              </w:rPr>
              <w:t>89</w:t>
            </w:r>
          </w:p>
        </w:tc>
        <w:tc>
          <w:tcPr>
            <w:tcW w:type="dxa" w:w="3572"/>
            <w:shd w:val="clear" w:color="auto" w:fill="F1F5F9"/>
          </w:tcPr>
          <w:p>
            <w:pPr>
              <w:spacing w:before="50" w:after="50" w:line="259" w:lineRule="auto"/>
            </w:pPr>
            <w:r/>
            <w:r>
              <w:rPr>
                <w:sz w:val="17"/>
              </w:rPr>
              <w:t>Renders the live-conditions view, offline fallback to cached intel</w:t>
            </w:r>
          </w:p>
        </w:tc>
        <w:tc>
          <w:tcPr>
            <w:tcW w:type="dxa" w:w="2268"/>
            <w:shd w:val="clear" w:color="auto" w:fill="F1F5F9"/>
          </w:tcPr>
          <w:p>
            <w:pPr>
              <w:spacing w:before="50" w:after="50" w:line="259" w:lineRule="auto"/>
            </w:pPr>
            <w:r/>
            <w:r>
              <w:rPr>
                <w:sz w:val="17"/>
              </w:rPr>
              <w:t>Read in full</w:t>
            </w:r>
          </w:p>
        </w:tc>
      </w:tr>
      <w:tr>
        <w:trPr>
          <w:cantSplit/>
        </w:trPr>
        <w:tc>
          <w:tcPr>
            <w:tcW w:type="dxa" w:w="2835"/>
          </w:tcPr>
          <w:p>
            <w:pPr>
              <w:spacing w:before="50" w:after="50" w:line="259" w:lineRule="auto"/>
            </w:pPr>
            <w:r/>
            <w:r>
              <w:rPr>
                <w:sz w:val="17"/>
              </w:rPr>
              <w:t>static/js/sw.js</w:t>
            </w:r>
          </w:p>
        </w:tc>
        <w:tc>
          <w:tcPr>
            <w:tcW w:type="dxa" w:w="737"/>
          </w:tcPr>
          <w:p>
            <w:pPr>
              <w:spacing w:before="50" w:after="50" w:line="259" w:lineRule="auto"/>
            </w:pPr>
            <w:r/>
            <w:r>
              <w:rPr>
                <w:sz w:val="17"/>
              </w:rPr>
              <w:t>84</w:t>
            </w:r>
          </w:p>
        </w:tc>
        <w:tc>
          <w:tcPr>
            <w:tcW w:type="dxa" w:w="3572"/>
          </w:tcPr>
          <w:p>
            <w:pPr>
              <w:spacing w:before="50" w:after="50" w:line="259" w:lineRule="auto"/>
            </w:pPr>
            <w:r/>
            <w:r>
              <w:rPr>
                <w:sz w:val="17"/>
              </w:rPr>
              <w:t>Service worker: shell, page and tile caching strategies</w:t>
            </w:r>
          </w:p>
        </w:tc>
        <w:tc>
          <w:tcPr>
            <w:tcW w:type="dxa" w:w="2268"/>
          </w:tcPr>
          <w:p>
            <w:pPr>
              <w:spacing w:before="50" w:after="50" w:line="259" w:lineRule="auto"/>
            </w:pPr>
            <w:r/>
            <w:r>
              <w:rPr>
                <w:sz w:val="17"/>
              </w:rPr>
              <w:t>Read in full</w:t>
            </w:r>
          </w:p>
        </w:tc>
      </w:tr>
      <w:tr>
        <w:trPr>
          <w:cantSplit/>
        </w:trPr>
        <w:tc>
          <w:tcPr>
            <w:tcW w:type="dxa" w:w="2835"/>
            <w:shd w:val="clear" w:color="auto" w:fill="F1F5F9"/>
          </w:tcPr>
          <w:p>
            <w:pPr>
              <w:spacing w:before="50" w:after="50" w:line="259" w:lineRule="auto"/>
            </w:pPr>
            <w:r/>
            <w:r>
              <w:rPr>
                <w:sz w:val="17"/>
              </w:rPr>
              <w:t>tests/test_providers.py</w:t>
            </w:r>
          </w:p>
        </w:tc>
        <w:tc>
          <w:tcPr>
            <w:tcW w:type="dxa" w:w="737"/>
            <w:shd w:val="clear" w:color="auto" w:fill="F1F5F9"/>
          </w:tcPr>
          <w:p>
            <w:pPr>
              <w:spacing w:before="50" w:after="50" w:line="259" w:lineRule="auto"/>
            </w:pPr>
            <w:r/>
            <w:r>
              <w:rPr>
                <w:sz w:val="17"/>
              </w:rPr>
              <w:t>87</w:t>
            </w:r>
          </w:p>
        </w:tc>
        <w:tc>
          <w:tcPr>
            <w:tcW w:type="dxa" w:w="3572"/>
            <w:shd w:val="clear" w:color="auto" w:fill="F1F5F9"/>
          </w:tcPr>
          <w:p>
            <w:pPr>
              <w:spacing w:before="50" w:after="50" w:line="259" w:lineRule="auto"/>
            </w:pPr>
            <w:r/>
            <w:r>
              <w:rPr>
                <w:sz w:val="17"/>
              </w:rPr>
              <w:t>Provider fallback, de-duplication and failure-message tests</w:t>
            </w:r>
          </w:p>
        </w:tc>
        <w:tc>
          <w:tcPr>
            <w:tcW w:type="dxa" w:w="2268"/>
            <w:shd w:val="clear" w:color="auto" w:fill="F1F5F9"/>
          </w:tcPr>
          <w:p>
            <w:pPr>
              <w:spacing w:before="50" w:after="50" w:line="259" w:lineRule="auto"/>
            </w:pPr>
            <w:r/>
            <w:r>
              <w:rPr>
                <w:sz w:val="17"/>
              </w:rPr>
              <w:t>Read in full</w:t>
            </w:r>
          </w:p>
        </w:tc>
      </w:tr>
      <w:tr>
        <w:trPr>
          <w:cantSplit/>
        </w:trPr>
        <w:tc>
          <w:tcPr>
            <w:tcW w:type="dxa" w:w="2835"/>
          </w:tcPr>
          <w:p>
            <w:pPr>
              <w:spacing w:before="50" w:after="50" w:line="259" w:lineRule="auto"/>
            </w:pPr>
            <w:r/>
            <w:r>
              <w:rPr>
                <w:sz w:val="17"/>
              </w:rPr>
              <w:t>services/http.py</w:t>
            </w:r>
          </w:p>
        </w:tc>
        <w:tc>
          <w:tcPr>
            <w:tcW w:type="dxa" w:w="737"/>
          </w:tcPr>
          <w:p>
            <w:pPr>
              <w:spacing w:before="50" w:after="50" w:line="259" w:lineRule="auto"/>
            </w:pPr>
            <w:r/>
            <w:r>
              <w:rPr>
                <w:sz w:val="17"/>
              </w:rPr>
              <w:t>—</w:t>
            </w:r>
          </w:p>
        </w:tc>
        <w:tc>
          <w:tcPr>
            <w:tcW w:type="dxa" w:w="3572"/>
          </w:tcPr>
          <w:p>
            <w:pPr>
              <w:spacing w:before="50" w:after="50" w:line="259" w:lineRule="auto"/>
            </w:pPr>
            <w:r/>
            <w:r>
              <w:rPr>
                <w:sz w:val="17"/>
              </w:rPr>
              <w:t>Shared JSON fetch, caching and ProviderError type</w:t>
            </w:r>
          </w:p>
        </w:tc>
        <w:tc>
          <w:tcPr>
            <w:tcW w:type="dxa" w:w="2268"/>
          </w:tcPr>
          <w:p>
            <w:pPr>
              <w:spacing w:before="50" w:after="50" w:line="259" w:lineRule="auto"/>
            </w:pPr>
            <w:r/>
            <w:r>
              <w:rPr>
                <w:sz w:val="17"/>
              </w:rPr>
              <w:t>Inferred from imports and call signatures</w:t>
            </w:r>
          </w:p>
        </w:tc>
      </w:tr>
      <w:tr>
        <w:trPr>
          <w:cantSplit/>
        </w:trPr>
        <w:tc>
          <w:tcPr>
            <w:tcW w:type="dxa" w:w="2835"/>
            <w:shd w:val="clear" w:color="auto" w:fill="F1F5F9"/>
          </w:tcPr>
          <w:p>
            <w:pPr>
              <w:spacing w:before="50" w:after="50" w:line="259" w:lineRule="auto"/>
            </w:pPr>
            <w:r/>
            <w:r>
              <w:rPr>
                <w:sz w:val="17"/>
              </w:rPr>
              <w:t>services/geo_service.py</w:t>
            </w:r>
          </w:p>
        </w:tc>
        <w:tc>
          <w:tcPr>
            <w:tcW w:type="dxa" w:w="737"/>
            <w:shd w:val="clear" w:color="auto" w:fill="F1F5F9"/>
          </w:tcPr>
          <w:p>
            <w:pPr>
              <w:spacing w:before="50" w:after="50" w:line="259" w:lineRule="auto"/>
            </w:pPr>
            <w:r/>
            <w:r>
              <w:rPr>
                <w:sz w:val="17"/>
              </w:rPr>
              <w:t>—</w:t>
            </w:r>
          </w:p>
        </w:tc>
        <w:tc>
          <w:tcPr>
            <w:tcW w:type="dxa" w:w="3572"/>
            <w:shd w:val="clear" w:color="auto" w:fill="F1F5F9"/>
          </w:tcPr>
          <w:p>
            <w:pPr>
              <w:spacing w:before="50" w:after="50" w:line="259" w:lineRule="auto"/>
            </w:pPr>
            <w:r/>
            <w:r>
              <w:rPr>
                <w:sz w:val="17"/>
              </w:rPr>
              <w:t>Overpass points of interest with mirror fallback</w:t>
            </w:r>
          </w:p>
        </w:tc>
        <w:tc>
          <w:tcPr>
            <w:tcW w:type="dxa" w:w="2268"/>
            <w:shd w:val="clear" w:color="auto" w:fill="F1F5F9"/>
          </w:tcPr>
          <w:p>
            <w:pPr>
              <w:spacing w:before="50" w:after="50" w:line="259" w:lineRule="auto"/>
            </w:pPr>
            <w:r/>
            <w:r>
              <w:rPr>
                <w:sz w:val="17"/>
              </w:rPr>
              <w:t>Inferred from the test suite</w:t>
            </w:r>
          </w:p>
        </w:tc>
      </w:tr>
      <w:tr>
        <w:trPr>
          <w:cantSplit/>
        </w:trPr>
        <w:tc>
          <w:tcPr>
            <w:tcW w:type="dxa" w:w="2835"/>
          </w:tcPr>
          <w:p>
            <w:pPr>
              <w:spacing w:before="50" w:after="50" w:line="259" w:lineRule="auto"/>
            </w:pPr>
            <w:r/>
            <w:r>
              <w:rPr>
                <w:sz w:val="17"/>
              </w:rPr>
              <w:t>Flask routes, templates, conftest.py</w:t>
            </w:r>
          </w:p>
        </w:tc>
        <w:tc>
          <w:tcPr>
            <w:tcW w:type="dxa" w:w="737"/>
          </w:tcPr>
          <w:p>
            <w:pPr>
              <w:spacing w:before="50" w:after="50" w:line="259" w:lineRule="auto"/>
            </w:pPr>
            <w:r/>
            <w:r>
              <w:rPr>
                <w:sz w:val="17"/>
              </w:rPr>
              <w:t>—</w:t>
            </w:r>
          </w:p>
        </w:tc>
        <w:tc>
          <w:tcPr>
            <w:tcW w:type="dxa" w:w="3572"/>
          </w:tcPr>
          <w:p>
            <w:pPr>
              <w:spacing w:before="50" w:after="50" w:line="259" w:lineRule="auto"/>
            </w:pPr>
            <w:r/>
            <w:r>
              <w:rPr>
                <w:sz w:val="17"/>
              </w:rPr>
              <w:t>Tool dispatch endpoint, page rendering, test fixtures</w:t>
            </w:r>
          </w:p>
        </w:tc>
        <w:tc>
          <w:tcPr>
            <w:tcW w:type="dxa" w:w="2268"/>
          </w:tcPr>
          <w:p>
            <w:pPr>
              <w:spacing w:before="50" w:after="50" w:line="259" w:lineRule="auto"/>
            </w:pPr>
            <w:r/>
            <w:r>
              <w:rPr>
                <w:sz w:val="17"/>
              </w:rPr>
              <w:t>Inferred from call sites</w:t>
            </w:r>
          </w:p>
        </w:tc>
      </w:tr>
    </w:tbl>
    <w:p>
      <w:pPr>
        <w:spacing w:after="0"/>
      </w:pPr>
    </w:p>
    <w:p>
      <w:pPr>
        <w:spacing w:after="240"/>
      </w:pPr>
      <w:r>
        <w:rPr>
          <w:i/>
          <w:color w:val="6B7280"/>
          <w:sz w:val="17"/>
        </w:rPr>
        <w:t>Table 1 — Evidence basis. Inferred components are reconstructed from how the reviewed code uses them.</w:t>
      </w:r>
    </w:p>
    <w:p>
      <w:r>
        <w:br w:type="page"/>
      </w:r>
    </w:p>
    <w:p>
      <w:pPr>
        <w:pStyle w:val="Heading1"/>
        <w:pBdr>
          <w:bottom w:val="single" w:sz="8" w:space="6" w:color="C7D2DE"/>
        </w:pBdr>
      </w:pPr>
      <w:r>
        <w:t>2  System architecture</w:t>
      </w:r>
    </w:p>
    <w:p>
      <w:pPr>
        <w:pStyle w:val="Heading2"/>
      </w:pPr>
      <w:r>
        <w:t>2.1  Layered view</w:t>
      </w:r>
    </w:p>
    <w:p>
      <w:r>
        <w:rPr>
          <w:i w:val="0"/>
        </w:rPr>
        <w:t>heyBro separates cleanly into five layers. Each layer knows only about the one beneath it, and the boundary that matters most is between the provider layer and the service layer: all knowledge of third-party API shapes, query parameters and failure modes is confined below that line, so the rest of the system sees only normalised, provenance-tagged dictionaries.</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trPr>
        <w:tc>
          <w:tcPr>
            <w:tcW w:type="dxa" w:w="1644"/>
            <w:shd w:val="clear" w:color="auto" w:fill="14304A"/>
          </w:tcPr>
          <w:p>
            <w:pPr>
              <w:spacing w:before="60" w:after="60"/>
            </w:pPr>
            <w:r/>
            <w:r>
              <w:rPr>
                <w:b/>
                <w:color w:val="FFFFFF"/>
                <w:sz w:val="17"/>
              </w:rPr>
              <w:t>Layer</w:t>
            </w:r>
          </w:p>
        </w:tc>
        <w:tc>
          <w:tcPr>
            <w:tcW w:type="dxa" w:w="3742"/>
            <w:shd w:val="clear" w:color="auto" w:fill="14304A"/>
          </w:tcPr>
          <w:p>
            <w:pPr>
              <w:spacing w:before="60" w:after="60"/>
            </w:pPr>
            <w:r/>
            <w:r>
              <w:rPr>
                <w:b/>
                <w:color w:val="FFFFFF"/>
                <w:sz w:val="17"/>
              </w:rPr>
              <w:t>Responsibility</w:t>
            </w:r>
          </w:p>
        </w:tc>
        <w:tc>
          <w:tcPr>
            <w:tcW w:type="dxa" w:w="4025"/>
            <w:shd w:val="clear" w:color="auto" w:fill="14304A"/>
          </w:tcPr>
          <w:p>
            <w:pPr>
              <w:spacing w:before="60" w:after="60"/>
            </w:pPr>
            <w:r/>
            <w:r>
              <w:rPr>
                <w:b/>
                <w:color w:val="FFFFFF"/>
                <w:sz w:val="17"/>
              </w:rPr>
              <w:t>Components</w:t>
            </w:r>
          </w:p>
        </w:tc>
      </w:tr>
      <w:tr>
        <w:trPr>
          <w:cantSplit/>
        </w:trPr>
        <w:tc>
          <w:tcPr>
            <w:tcW w:type="dxa" w:w="1644"/>
          </w:tcPr>
          <w:p>
            <w:pPr>
              <w:spacing w:before="50" w:after="50" w:line="259" w:lineRule="auto"/>
            </w:pPr>
            <w:r/>
            <w:r>
              <w:rPr>
                <w:sz w:val="17"/>
              </w:rPr>
              <w:t>Presentation</w:t>
            </w:r>
          </w:p>
        </w:tc>
        <w:tc>
          <w:tcPr>
            <w:tcW w:type="dxa" w:w="3742"/>
          </w:tcPr>
          <w:p>
            <w:pPr>
              <w:spacing w:before="50" w:after="50" w:line="259" w:lineRule="auto"/>
            </w:pPr>
            <w:r/>
            <w:r>
              <w:rPr>
                <w:sz w:val="17"/>
              </w:rPr>
              <w:t>Renders provenance-labelled panels, degrades to cached data when offline</w:t>
            </w:r>
          </w:p>
        </w:tc>
        <w:tc>
          <w:tcPr>
            <w:tcW w:type="dxa" w:w="4025"/>
          </w:tcPr>
          <w:p>
            <w:pPr>
              <w:spacing w:before="50" w:after="50" w:line="259" w:lineRule="auto"/>
            </w:pPr>
            <w:r/>
            <w:r>
              <w:rPr>
                <w:sz w:val="17"/>
              </w:rPr>
              <w:t>static/js/live.js, map.js, plan.js, safety.js, sos.js (and the page templates)</w:t>
            </w:r>
          </w:p>
        </w:tc>
      </w:tr>
      <w:tr>
        <w:trPr>
          <w:cantSplit/>
        </w:trPr>
        <w:tc>
          <w:tcPr>
            <w:tcW w:type="dxa" w:w="1644"/>
            <w:shd w:val="clear" w:color="auto" w:fill="F1F5F9"/>
          </w:tcPr>
          <w:p>
            <w:pPr>
              <w:spacing w:before="50" w:after="50" w:line="259" w:lineRule="auto"/>
            </w:pPr>
            <w:r/>
            <w:r>
              <w:rPr>
                <w:sz w:val="17"/>
              </w:rPr>
              <w:t>Delivery</w:t>
            </w:r>
          </w:p>
        </w:tc>
        <w:tc>
          <w:tcPr>
            <w:tcW w:type="dxa" w:w="3742"/>
            <w:shd w:val="clear" w:color="auto" w:fill="F1F5F9"/>
          </w:tcPr>
          <w:p>
            <w:pPr>
              <w:spacing w:before="50" w:after="50" w:line="259" w:lineRule="auto"/>
            </w:pPr>
            <w:r/>
            <w:r>
              <w:rPr>
                <w:sz w:val="17"/>
              </w:rPr>
              <w:t>Caches the application shell, visited pages and map tiles; routes requests</w:t>
            </w:r>
          </w:p>
        </w:tc>
        <w:tc>
          <w:tcPr>
            <w:tcW w:type="dxa" w:w="4025"/>
            <w:shd w:val="clear" w:color="auto" w:fill="F1F5F9"/>
          </w:tcPr>
          <w:p>
            <w:pPr>
              <w:spacing w:before="50" w:after="50" w:line="259" w:lineRule="auto"/>
            </w:pPr>
            <w:r/>
            <w:r>
              <w:rPr>
                <w:sz w:val="17"/>
              </w:rPr>
              <w:t>static/js/sw.js, manifest.webmanifest</w:t>
            </w:r>
          </w:p>
        </w:tc>
      </w:tr>
      <w:tr>
        <w:trPr>
          <w:cantSplit/>
        </w:trPr>
        <w:tc>
          <w:tcPr>
            <w:tcW w:type="dxa" w:w="1644"/>
          </w:tcPr>
          <w:p>
            <w:pPr>
              <w:spacing w:before="50" w:after="50" w:line="259" w:lineRule="auto"/>
            </w:pPr>
            <w:r/>
            <w:r>
              <w:rPr>
                <w:sz w:val="17"/>
              </w:rPr>
              <w:t>Transport</w:t>
            </w:r>
          </w:p>
        </w:tc>
        <w:tc>
          <w:tcPr>
            <w:tcW w:type="dxa" w:w="3742"/>
          </w:tcPr>
          <w:p>
            <w:pPr>
              <w:spacing w:before="50" w:after="50" w:line="259" w:lineRule="auto"/>
            </w:pPr>
            <w:r/>
            <w:r>
              <w:rPr>
                <w:sz w:val="17"/>
              </w:rPr>
              <w:t>A single named-tool RPC endpoint over POST; never cached</w:t>
            </w:r>
          </w:p>
        </w:tc>
        <w:tc>
          <w:tcPr>
            <w:tcW w:type="dxa" w:w="4025"/>
          </w:tcPr>
          <w:p>
            <w:pPr>
              <w:spacing w:before="50" w:after="50" w:line="259" w:lineRule="auto"/>
            </w:pPr>
            <w:r/>
            <w:r>
              <w:rPr>
                <w:sz w:val="17"/>
              </w:rPr>
              <w:t>Flask route under /api/ (inferred)</w:t>
            </w:r>
          </w:p>
        </w:tc>
      </w:tr>
      <w:tr>
        <w:trPr>
          <w:cantSplit/>
        </w:trPr>
        <w:tc>
          <w:tcPr>
            <w:tcW w:type="dxa" w:w="1644"/>
            <w:shd w:val="clear" w:color="auto" w:fill="F1F5F9"/>
          </w:tcPr>
          <w:p>
            <w:pPr>
              <w:spacing w:before="50" w:after="50" w:line="259" w:lineRule="auto"/>
            </w:pPr>
            <w:r/>
            <w:r>
              <w:rPr>
                <w:sz w:val="17"/>
              </w:rPr>
              <w:t>Service</w:t>
            </w:r>
          </w:p>
        </w:tc>
        <w:tc>
          <w:tcPr>
            <w:tcW w:type="dxa" w:w="3742"/>
            <w:shd w:val="clear" w:color="auto" w:fill="F1F5F9"/>
          </w:tcPr>
          <w:p>
            <w:pPr>
              <w:spacing w:before="50" w:after="50" w:line="259" w:lineRule="auto"/>
            </w:pPr>
            <w:r/>
            <w:r>
              <w:rPr>
                <w:sz w:val="17"/>
              </w:rPr>
              <w:t>Aggregates providers, normalises payloads, labels provenance, isolates failures</w:t>
            </w:r>
          </w:p>
        </w:tc>
        <w:tc>
          <w:tcPr>
            <w:tcW w:type="dxa" w:w="4025"/>
            <w:shd w:val="clear" w:color="auto" w:fill="F1F5F9"/>
          </w:tcPr>
          <w:p>
            <w:pPr>
              <w:spacing w:before="50" w:after="50" w:line="259" w:lineRule="auto"/>
            </w:pPr>
            <w:r/>
            <w:r>
              <w:rPr>
                <w:sz w:val="17"/>
              </w:rPr>
              <w:t>services/live_service.py, services/geo_service.py</w:t>
            </w:r>
          </w:p>
        </w:tc>
      </w:tr>
      <w:tr>
        <w:trPr>
          <w:cantSplit/>
        </w:trPr>
        <w:tc>
          <w:tcPr>
            <w:tcW w:type="dxa" w:w="1644"/>
          </w:tcPr>
          <w:p>
            <w:pPr>
              <w:spacing w:before="50" w:after="50" w:line="259" w:lineRule="auto"/>
            </w:pPr>
            <w:r/>
            <w:r>
              <w:rPr>
                <w:sz w:val="17"/>
              </w:rPr>
              <w:t>Provider</w:t>
            </w:r>
          </w:p>
        </w:tc>
        <w:tc>
          <w:tcPr>
            <w:tcW w:type="dxa" w:w="3742"/>
          </w:tcPr>
          <w:p>
            <w:pPr>
              <w:spacing w:before="50" w:after="50" w:line="259" w:lineRule="auto"/>
            </w:pPr>
            <w:r/>
            <w:r>
              <w:rPr>
                <w:sz w:val="17"/>
              </w:rPr>
              <w:t>Performs HTTP, caches by TTL, raises a single typed error</w:t>
            </w:r>
          </w:p>
        </w:tc>
        <w:tc>
          <w:tcPr>
            <w:tcW w:type="dxa" w:w="4025"/>
          </w:tcPr>
          <w:p>
            <w:pPr>
              <w:spacing w:before="50" w:after="50" w:line="259" w:lineRule="auto"/>
            </w:pPr>
            <w:r/>
            <w:r>
              <w:rPr>
                <w:sz w:val="17"/>
              </w:rPr>
              <w:t>services/http.py — fetch_json and ProviderError</w:t>
            </w:r>
          </w:p>
        </w:tc>
      </w:tr>
    </w:tbl>
    <w:p>
      <w:pPr>
        <w:spacing w:after="0"/>
      </w:pPr>
    </w:p>
    <w:p>
      <w:pPr>
        <w:spacing w:after="240"/>
      </w:pPr>
      <w:r>
        <w:rPr>
          <w:i/>
          <w:color w:val="6B7280"/>
          <w:sz w:val="17"/>
        </w:rPr>
        <w:t>Table 2 — Architectural layers.</w:t>
      </w:r>
    </w:p>
    <w:p>
      <w:pPr>
        <w:pStyle w:val="Heading2"/>
      </w:pPr>
      <w:r>
        <w:t>2.2  The tool-call convention</w:t>
      </w:r>
    </w:p>
    <w:p>
      <w:r>
        <w:rPr>
          <w:i w:val="0"/>
        </w:rPr>
        <w:t>The front end does not call REST resources. It calls named tools with a JSON argument object, through a single helper:</w:t>
      </w:r>
    </w:p>
    <w:p>
      <w:pPr>
        <w:spacing w:before="140" w:after="0" w:line="240" w:lineRule="auto"/>
        <w:ind w:left="198" w:right="113"/>
        <w:keepNext/>
        <w:shd w:val="clear" w:color="auto" w:fill="F6F7F9"/>
        <w:pBdr>
          <w:left w:val="single" w:sz="18" w:space="6" w:color="C7D2DE"/>
        </w:pBdr>
      </w:pPr>
      <w:r>
        <w:rPr>
          <w:rFonts w:ascii="Consolas" w:hAnsi="Consolas"/>
          <w:color w:val="1E293B"/>
          <w:sz w:val="17"/>
        </w:rPr>
        <w:t>const r = await TM.tool("search_places", { query: q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const d = await TM.tool("get_travel_conditions", { lat, lon, country_code: cc || null });</w:t>
      </w:r>
    </w:p>
    <w:p>
      <w:pPr>
        <w:spacing w:before="0" w:after="140" w:line="240" w:lineRule="auto"/>
        <w:ind w:left="198" w:right="113"/>
        <w:shd w:val="clear" w:color="auto" w:fill="F6F7F9"/>
        <w:pBdr>
          <w:left w:val="single" w:sz="18" w:space="6" w:color="C7D2DE"/>
        </w:pBdr>
      </w:pPr>
      <w:r>
        <w:rPr>
          <w:rFonts w:ascii="Consolas" w:hAnsi="Consolas"/>
          <w:color w:val="1E293B"/>
          <w:sz w:val="17"/>
        </w:rPr>
        <w:t>const r = await TM.tool("reverse_geocode", { lat, lon });</w:t>
      </w:r>
    </w:p>
    <w:p>
      <w:pPr>
        <w:spacing w:after="200"/>
        <w:ind w:left="198"/>
      </w:pPr>
      <w:r>
        <w:rPr>
          <w:i/>
          <w:color w:val="6B7280"/>
          <w:sz w:val="17"/>
        </w:rPr>
        <w:t>Every data access in static/js/live.js goes through TM.tool(name, args).</w:t>
      </w:r>
    </w:p>
    <w:p>
      <w:r>
        <w:rPr>
          <w:i w:val="0"/>
        </w:rPr>
        <w:t>The service worker confirms the shape of this channel from the other side: a comment records that “Tool calls are POSTs and never cached here,” and the fetch handler returns early for any path beginning with /api/ so that live data always goes to the network. The convention is therefore a single POST endpoint that dispatches on a tool name, with a registry mapping names to service functions.</w:t>
      </w:r>
    </w:p>
    <w:p>
      <w:pPr>
        <w:spacing w:before="160" w:after="40"/>
        <w:ind w:left="198" w:right="113"/>
        <w:shd w:val="clear" w:color="auto" w:fill="FEF6E7"/>
        <w:pBdr>
          <w:left w:val="single" w:sz="18" w:space="6" w:color="B45309"/>
        </w:pBdr>
        <w:keepNext/>
      </w:pPr>
      <w:r>
        <w:rPr>
          <w:b/>
          <w:color w:val="7C2D12"/>
          <w:sz w:val="19"/>
        </w:rPr>
        <w:t>This is the architectural key to Section 5</w:t>
      </w:r>
    </w:p>
    <w:p>
      <w:pPr>
        <w:spacing w:before="0" w:after="200"/>
        <w:ind w:left="198" w:right="113"/>
        <w:shd w:val="clear" w:color="auto" w:fill="FEF6E7"/>
        <w:pBdr>
          <w:left w:val="single" w:sz="18" w:space="6" w:color="B45309"/>
        </w:pBdr>
      </w:pPr>
      <w:r>
        <w:rPr>
          <w:color w:val="432B15"/>
          <w:sz w:val="19"/>
        </w:rPr>
        <w:t>A named-tool registry taking a JSON argument object and returning a JSON result is, almost exactly, the Model Context Protocol's tool abstraction. Exposing heyBro over MCP is therefore not a re-architecture; it is a second transport bound to the same registry. The work is in writing honest schemas and descriptions, not in moving code.</w:t>
      </w:r>
    </w:p>
    <w:p>
      <w:pPr>
        <w:pStyle w:val="Heading2"/>
      </w:pPr>
      <w:r>
        <w:t>2.3  Request lifecycle</w:t>
      </w:r>
    </w:p>
    <w:p>
      <w:r>
        <w:rPr>
          <w:i w:val="0"/>
        </w:rPr>
        <w:t>A single location lookup proceeds as follows. The user submits a place name, or asks for their current position through the browser geolocation API. If the name route is taken, search_places resolves it to candidates and the first is adopted. If the geolocation route is taken, the coordinate has no country code attached, so reverse_geocode is called to obtain one — and the result is cached in local storage under the key cc, because the country code determines which official alert feed applies. get_travel_conditions is then called with the coordinate and country code.</w:t>
      </w:r>
    </w:p>
    <w:p>
      <w:r>
        <w:rPr>
          <w:i w:val="0"/>
        </w:rPr>
        <w:t>On the server, that single call fans out to Open-Meteo for weather, GDACS for active disasters and TomTom for road incidents, with the US National Weather Service added when the country code is US. The aggregate result, along with the resolved label and a timestamp, is written to local storage under last_intel before rendering. That cached copy is what the view falls back to on a subsequent failure, shown behind a banner that states when it was captured and warns that it may be out of date.</w:t>
      </w:r>
    </w:p>
    <w:p>
      <w:pPr>
        <w:pStyle w:val="Heading2"/>
      </w:pPr>
      <w:r>
        <w:t>2.4  The provenance model</w:t>
      </w:r>
    </w:p>
    <w:p>
      <w:r>
        <w:rPr>
          <w:i w:val="0"/>
        </w:rPr>
        <w:t>Four provenance values circulate through the system. They are not decorative: the renderer maps each to a distinct badge, and the wording attached to each is chosen to prevent a reader from mistaking one class of claim for another.</w:t>
      </w:r>
    </w:p>
    <w:tbl>
      <w:tblPr>
        <w:tblStyle w:val="TableGrid"/>
        <w:tblW w:type="auto" w:w="0"/>
        <w:jc w:val="left"/>
        <w:tblLayout w:type="fixed"/>
        <w:tblLook w:firstColumn="1" w:firstRow="1" w:lastColumn="0" w:lastRow="0" w:noHBand="0" w:noVBand="1" w:val="04A0"/>
      </w:tblPr>
      <w:tblGrid>
        <w:gridCol w:w="2353"/>
        <w:gridCol w:w="2353"/>
        <w:gridCol w:w="2353"/>
        <w:gridCol w:w="2353"/>
      </w:tblGrid>
      <w:tr>
        <w:trPr>
          <w:tblHeader/>
        </w:trPr>
        <w:tc>
          <w:tcPr>
            <w:tcW w:type="dxa" w:w="1077"/>
            <w:shd w:val="clear" w:color="auto" w:fill="14304A"/>
          </w:tcPr>
          <w:p>
            <w:pPr>
              <w:spacing w:before="60" w:after="60"/>
            </w:pPr>
            <w:r/>
            <w:r>
              <w:rPr>
                <w:b/>
                <w:color w:val="FFFFFF"/>
                <w:sz w:val="17"/>
              </w:rPr>
              <w:t>Value</w:t>
            </w:r>
          </w:p>
        </w:tc>
        <w:tc>
          <w:tcPr>
            <w:tcW w:type="dxa" w:w="3005"/>
            <w:shd w:val="clear" w:color="auto" w:fill="14304A"/>
          </w:tcPr>
          <w:p>
            <w:pPr>
              <w:spacing w:before="60" w:after="60"/>
            </w:pPr>
            <w:r/>
            <w:r>
              <w:rPr>
                <w:b/>
                <w:color w:val="FFFFFF"/>
                <w:sz w:val="17"/>
              </w:rPr>
              <w:t>Meaning</w:t>
            </w:r>
          </w:p>
        </w:tc>
        <w:tc>
          <w:tcPr>
            <w:tcW w:type="dxa" w:w="3628"/>
            <w:shd w:val="clear" w:color="auto" w:fill="14304A"/>
          </w:tcPr>
          <w:p>
            <w:pPr>
              <w:spacing w:before="60" w:after="60"/>
            </w:pPr>
            <w:r/>
            <w:r>
              <w:rPr>
                <w:b/>
                <w:color w:val="FFFFFF"/>
                <w:sz w:val="17"/>
              </w:rPr>
              <w:t>Example label in code</w:t>
            </w:r>
          </w:p>
        </w:tc>
        <w:tc>
          <w:tcPr>
            <w:tcW w:type="dxa" w:w="1701"/>
            <w:shd w:val="clear" w:color="auto" w:fill="14304A"/>
          </w:tcPr>
          <w:p>
            <w:pPr>
              <w:spacing w:before="60" w:after="60"/>
            </w:pPr>
            <w:r/>
            <w:r>
              <w:rPr>
                <w:b/>
                <w:color w:val="FFFFFF"/>
                <w:sz w:val="17"/>
              </w:rPr>
              <w:t>Renderer badge</w:t>
            </w:r>
          </w:p>
        </w:tc>
      </w:tr>
      <w:tr>
        <w:trPr>
          <w:cantSplit/>
        </w:trPr>
        <w:tc>
          <w:tcPr>
            <w:tcW w:type="dxa" w:w="1077"/>
          </w:tcPr>
          <w:p>
            <w:pPr>
              <w:spacing w:before="50" w:after="50" w:line="259" w:lineRule="auto"/>
            </w:pPr>
            <w:r/>
            <w:r>
              <w:rPr>
                <w:sz w:val="17"/>
              </w:rPr>
              <w:t>live</w:t>
            </w:r>
          </w:p>
        </w:tc>
        <w:tc>
          <w:tcPr>
            <w:tcW w:type="dxa" w:w="3005"/>
          </w:tcPr>
          <w:p>
            <w:pPr>
              <w:spacing w:before="50" w:after="50" w:line="259" w:lineRule="auto"/>
            </w:pPr>
            <w:r/>
            <w:r>
              <w:rPr>
                <w:sz w:val="17"/>
              </w:rPr>
              <w:t>Observed, modelled or officially reported for the present moment</w:t>
            </w:r>
          </w:p>
        </w:tc>
        <w:tc>
          <w:tcPr>
            <w:tcW w:type="dxa" w:w="3628"/>
          </w:tcPr>
          <w:p>
            <w:pPr>
              <w:spacing w:before="50" w:after="50" w:line="259" w:lineRule="auto"/>
            </w:pPr>
            <w:r/>
            <w:r>
              <w:rPr>
                <w:rFonts w:ascii="Consolas" w:hAnsi="Consolas"/>
                <w:color w:val="8B2E4F"/>
                <w:sz w:val="16"/>
              </w:rPr>
              <w:t>LIVE · observed/modelled now</w:t>
            </w:r>
          </w:p>
        </w:tc>
        <w:tc>
          <w:tcPr>
            <w:tcW w:type="dxa" w:w="1701"/>
          </w:tcPr>
          <w:p>
            <w:pPr>
              <w:spacing w:before="50" w:after="50" w:line="259" w:lineRule="auto"/>
            </w:pPr>
            <w:r/>
            <w:r>
              <w:rPr>
                <w:sz w:val="17"/>
              </w:rPr>
              <w:t>Live</w:t>
            </w:r>
          </w:p>
        </w:tc>
      </w:tr>
      <w:tr>
        <w:trPr>
          <w:cantSplit/>
        </w:trPr>
        <w:tc>
          <w:tcPr>
            <w:tcW w:type="dxa" w:w="1077"/>
            <w:shd w:val="clear" w:color="auto" w:fill="F1F5F9"/>
          </w:tcPr>
          <w:p>
            <w:pPr>
              <w:spacing w:before="50" w:after="50" w:line="259" w:lineRule="auto"/>
            </w:pPr>
            <w:r/>
            <w:r>
              <w:rPr>
                <w:sz w:val="17"/>
              </w:rPr>
              <w:t>forecast</w:t>
            </w:r>
          </w:p>
        </w:tc>
        <w:tc>
          <w:tcPr>
            <w:tcW w:type="dxa" w:w="3005"/>
            <w:shd w:val="clear" w:color="auto" w:fill="F1F5F9"/>
          </w:tcPr>
          <w:p>
            <w:pPr>
              <w:spacing w:before="50" w:after="50" w:line="259" w:lineRule="auto"/>
            </w:pPr>
            <w:r/>
            <w:r>
              <w:rPr>
                <w:sz w:val="17"/>
              </w:rPr>
              <w:t>A model prediction about the future, which can change</w:t>
            </w:r>
          </w:p>
        </w:tc>
        <w:tc>
          <w:tcPr>
            <w:tcW w:type="dxa" w:w="3628"/>
            <w:shd w:val="clear" w:color="auto" w:fill="F1F5F9"/>
          </w:tcPr>
          <w:p>
            <w:pPr>
              <w:spacing w:before="50" w:after="50" w:line="259" w:lineRule="auto"/>
            </w:pPr>
            <w:r/>
            <w:r>
              <w:rPr>
                <w:rFonts w:ascii="Consolas" w:hAnsi="Consolas"/>
                <w:color w:val="8B2E4F"/>
                <w:sz w:val="16"/>
              </w:rPr>
              <w:t>FORECAST · model prediction</w:t>
            </w:r>
          </w:p>
        </w:tc>
        <w:tc>
          <w:tcPr>
            <w:tcW w:type="dxa" w:w="1701"/>
            <w:shd w:val="clear" w:color="auto" w:fill="F1F5F9"/>
          </w:tcPr>
          <w:p>
            <w:pPr>
              <w:spacing w:before="50" w:after="50" w:line="259" w:lineRule="auto"/>
            </w:pPr>
            <w:r/>
            <w:r>
              <w:rPr>
                <w:sz w:val="17"/>
              </w:rPr>
              <w:t>Forecast</w:t>
            </w:r>
          </w:p>
        </w:tc>
      </w:tr>
      <w:tr>
        <w:trPr>
          <w:cantSplit/>
        </w:trPr>
        <w:tc>
          <w:tcPr>
            <w:tcW w:type="dxa" w:w="1077"/>
          </w:tcPr>
          <w:p>
            <w:pPr>
              <w:spacing w:before="50" w:after="50" w:line="259" w:lineRule="auto"/>
            </w:pPr>
            <w:r/>
            <w:r>
              <w:rPr>
                <w:sz w:val="17"/>
              </w:rPr>
              <w:t>derived</w:t>
            </w:r>
          </w:p>
        </w:tc>
        <w:tc>
          <w:tcPr>
            <w:tcW w:type="dxa" w:w="3005"/>
          </w:tcPr>
          <w:p>
            <w:pPr>
              <w:spacing w:before="50" w:after="50" w:line="259" w:lineRule="auto"/>
            </w:pPr>
            <w:r/>
            <w:r>
              <w:rPr>
                <w:sz w:val="17"/>
              </w:rPr>
              <w:t>Computed by heyBro from other data; carries no authority</w:t>
            </w:r>
          </w:p>
        </w:tc>
        <w:tc>
          <w:tcPr>
            <w:tcW w:type="dxa" w:w="3628"/>
          </w:tcPr>
          <w:p>
            <w:pPr>
              <w:spacing w:before="50" w:after="50" w:line="259" w:lineRule="auto"/>
            </w:pPr>
            <w:r/>
            <w:r>
              <w:rPr>
                <w:rFonts w:ascii="Consolas" w:hAnsi="Consolas"/>
                <w:color w:val="8B2E4F"/>
                <w:sz w:val="16"/>
              </w:rPr>
              <w:t>Computed from forecast thresholds — not an official warning</w:t>
            </w:r>
          </w:p>
        </w:tc>
        <w:tc>
          <w:tcPr>
            <w:tcW w:type="dxa" w:w="1701"/>
          </w:tcPr>
          <w:p>
            <w:pPr>
              <w:spacing w:before="50" w:after="50" w:line="259" w:lineRule="auto"/>
            </w:pPr>
            <w:r/>
            <w:r>
              <w:rPr>
                <w:sz w:val="17"/>
              </w:rPr>
              <w:t>Computed</w:t>
            </w:r>
          </w:p>
        </w:tc>
      </w:tr>
      <w:tr>
        <w:trPr>
          <w:cantSplit/>
        </w:trPr>
        <w:tc>
          <w:tcPr>
            <w:tcW w:type="dxa" w:w="1077"/>
            <w:shd w:val="clear" w:color="auto" w:fill="F1F5F9"/>
          </w:tcPr>
          <w:p>
            <w:pPr>
              <w:spacing w:before="50" w:after="50" w:line="259" w:lineRule="auto"/>
            </w:pPr>
            <w:r/>
            <w:r>
              <w:rPr>
                <w:sz w:val="17"/>
              </w:rPr>
              <w:t>none</w:t>
            </w:r>
          </w:p>
        </w:tc>
        <w:tc>
          <w:tcPr>
            <w:tcW w:type="dxa" w:w="3005"/>
            <w:shd w:val="clear" w:color="auto" w:fill="F1F5F9"/>
          </w:tcPr>
          <w:p>
            <w:pPr>
              <w:spacing w:before="50" w:after="50" w:line="259" w:lineRule="auto"/>
            </w:pPr>
            <w:r/>
            <w:r>
              <w:rPr>
                <w:sz w:val="17"/>
              </w:rPr>
              <w:t>No feed is connected for this location or capability</w:t>
            </w:r>
          </w:p>
        </w:tc>
        <w:tc>
          <w:tcPr>
            <w:tcW w:type="dxa" w:w="3628"/>
            <w:shd w:val="clear" w:color="auto" w:fill="F1F5F9"/>
          </w:tcPr>
          <w:p>
            <w:pPr>
              <w:spacing w:before="50" w:after="50" w:line="259" w:lineRule="auto"/>
            </w:pPr>
            <w:r/>
            <w:r>
              <w:rPr>
                <w:rFonts w:ascii="Consolas" w:hAnsi="Consolas"/>
                <w:color w:val="8B2E4F"/>
                <w:sz w:val="16"/>
              </w:rPr>
              <w:t>No official alert feed connected for this country</w:t>
            </w:r>
          </w:p>
        </w:tc>
        <w:tc>
          <w:tcPr>
            <w:tcW w:type="dxa" w:w="1701"/>
            <w:shd w:val="clear" w:color="auto" w:fill="F1F5F9"/>
          </w:tcPr>
          <w:p>
            <w:pPr>
              <w:spacing w:before="50" w:after="50" w:line="259" w:lineRule="auto"/>
            </w:pPr>
            <w:r/>
            <w:r>
              <w:rPr>
                <w:sz w:val="17"/>
              </w:rPr>
              <w:t>Not connected</w:t>
            </w:r>
          </w:p>
        </w:tc>
      </w:tr>
    </w:tbl>
    <w:p>
      <w:pPr>
        <w:spacing w:after="0"/>
      </w:pPr>
    </w:p>
    <w:p>
      <w:pPr>
        <w:spacing w:after="240"/>
      </w:pPr>
      <w:r>
        <w:rPr>
          <w:i/>
          <w:color w:val="6B7280"/>
          <w:sz w:val="17"/>
        </w:rPr>
        <w:t>Table 3 — Provenance values and their treatment.</w:t>
      </w:r>
    </w:p>
    <w:p>
      <w:r>
        <w:rPr>
          <w:i w:val="0"/>
        </w:rPr>
        <w:t>The distinction between derived and live is the one with safety consequences, and the distinction between none and an empty live result is the one most often got wrong elsewhere. heyBro's handling of the latter is worth stating plainly: when no alert feed exists for a country, the response sets source to none, supplies an empty items array, and attaches links to the relevant national authority — for India the NDMA SACHET portal, the India Meteorological Department and INCOIS; for Nepal the Department of Hydrology and Meteorology and the BIPAD portal. The user is told that nothing is known, not that nothing is wrong.</w:t>
      </w:r>
    </w:p>
    <w:p>
      <w:pPr>
        <w:pStyle w:val="Heading2"/>
      </w:pPr>
      <w:r>
        <w:t>2.5  Failure isolation</w:t>
      </w:r>
    </w:p>
    <w:p>
      <w:r>
        <w:rPr>
          <w:i w:val="0"/>
        </w:rPr>
        <w:t>The aggregate function builds its result section by section inside a loop, with each provider wrapped in its own exception handler:</w:t>
      </w:r>
    </w:p>
    <w:p>
      <w:pPr>
        <w:spacing w:before="140" w:after="0" w:line="240" w:lineRule="auto"/>
        <w:ind w:left="198" w:right="113"/>
        <w:keepNext/>
        <w:shd w:val="clear" w:color="auto" w:fill="F6F7F9"/>
        <w:pBdr>
          <w:left w:val="single" w:sz="18" w:space="6" w:color="C7D2DE"/>
        </w:pBdr>
      </w:pPr>
      <w:r>
        <w:rPr>
          <w:rFonts w:ascii="Consolas" w:hAnsi="Consolas"/>
          <w:color w:val="1E293B"/>
          <w:sz w:val="17"/>
        </w:rPr>
        <w:t>result = {"location": {"lat": lat, "lon": lon}, "errors":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for key, fn in (("weather",   lambda: weather(lat, lon)),</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("disasters", lambda: disasters(lat, lon)),</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("roads",     lambda: road_incidents(lat, lon))):</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try:</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result[key] = fn()</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except ProviderError as exc:</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result[key] = None</w:t>
      </w:r>
    </w:p>
    <w:p>
      <w:pPr>
        <w:spacing w:before="0" w:after="140" w:line="240" w:lineRule="auto"/>
        <w:ind w:left="198" w:right="113"/>
        <w:shd w:val="clear" w:color="auto" w:fill="F6F7F9"/>
        <w:pBdr>
          <w:left w:val="single" w:sz="18" w:space="6" w:color="C7D2DE"/>
        </w:pBdr>
      </w:pPr>
      <w:r>
        <w:rPr>
          <w:rFonts w:ascii="Consolas" w:hAnsi="Consolas"/>
          <w:color w:val="1E293B"/>
          <w:sz w:val="17"/>
        </w:rPr>
        <w:t xml:space="preserve">        result["errors"][key] = str(exc)</w:t>
      </w:r>
    </w:p>
    <w:p>
      <w:pPr>
        <w:spacing w:after="200"/>
        <w:ind w:left="198"/>
      </w:pPr>
      <w:r>
        <w:rPr>
          <w:i/>
          <w:color w:val="6B7280"/>
          <w:sz w:val="17"/>
        </w:rPr>
        <w:t>services/live_service.py — intel(); each section fails independently.</w:t>
      </w:r>
    </w:p>
    <w:p>
      <w:r>
        <w:rPr>
          <w:i w:val="0"/>
        </w:rPr>
        <w:t>Two properties follow. First, a dead GDACS feed still yields a full weather briefing; the user loses one panel, not the page. Second, failures are reported rather than swallowed: the errors dictionary is keyed by section, the renderer displays an error box for each failed section, and the failure messages themselves are written to be read by a worried human rather than a log aggregator. When the GDACS feed is unreachable the message reads, in part, “The GDACS disaster feed isn't responding right now. Check gdacs.org or your national disaster authority (in India: sachet.ndma.gov.in) for active alerts.” A test asserts that this message survives.</w:t>
      </w:r>
    </w:p>
    <w:p>
      <w:pPr>
        <w:pStyle w:val="Heading2"/>
      </w:pPr>
      <w:r>
        <w:t>2.6  Offline-first delivery</w:t>
      </w:r>
    </w:p>
    <w:p>
      <w:r>
        <w:rPr>
          <w:i w:val="0"/>
        </w:rPr>
        <w:t>The service worker, versioned as hb-v2, maintains three caches with different lifetimes. Two are tied to the version string and are purged on activation when the version changes; the tile cache deliberately is not, so that map areas a user saved before a trip survive an application update. The comment in the code is explicit about the intent: the tile cache is “kept across versions so saved areas survive updates.”</w:t>
      </w:r>
    </w:p>
    <w:tbl>
      <w:tblPr>
        <w:tblStyle w:val="TableGrid"/>
        <w:tblW w:type="auto" w:w="0"/>
        <w:jc w:val="left"/>
        <w:tblLayout w:type="fixed"/>
        <w:tblLook w:firstColumn="1" w:firstRow="1" w:lastColumn="0" w:lastRow="0" w:noHBand="0" w:noVBand="1" w:val="04A0"/>
      </w:tblPr>
      <w:tblGrid>
        <w:gridCol w:w="1882"/>
        <w:gridCol w:w="1882"/>
        <w:gridCol w:w="1882"/>
        <w:gridCol w:w="1882"/>
        <w:gridCol w:w="1882"/>
      </w:tblGrid>
      <w:tr>
        <w:trPr>
          <w:tblHeader/>
        </w:trPr>
        <w:tc>
          <w:tcPr>
            <w:tcW w:type="dxa" w:w="1020"/>
            <w:shd w:val="clear" w:color="auto" w:fill="14304A"/>
          </w:tcPr>
          <w:p>
            <w:pPr>
              <w:spacing w:before="60" w:after="60"/>
            </w:pPr>
            <w:r/>
            <w:r>
              <w:rPr>
                <w:b/>
                <w:color w:val="FFFFFF"/>
                <w:sz w:val="17"/>
              </w:rPr>
              <w:t>Cache</w:t>
            </w:r>
          </w:p>
        </w:tc>
        <w:tc>
          <w:tcPr>
            <w:tcW w:type="dxa" w:w="1701"/>
            <w:shd w:val="clear" w:color="auto" w:fill="14304A"/>
          </w:tcPr>
          <w:p>
            <w:pPr>
              <w:spacing w:before="60" w:after="60"/>
            </w:pPr>
            <w:r/>
            <w:r>
              <w:rPr>
                <w:b/>
                <w:color w:val="FFFFFF"/>
                <w:sz w:val="17"/>
              </w:rPr>
              <w:t>Key</w:t>
            </w:r>
          </w:p>
        </w:tc>
        <w:tc>
          <w:tcPr>
            <w:tcW w:type="dxa" w:w="2948"/>
            <w:shd w:val="clear" w:color="auto" w:fill="14304A"/>
          </w:tcPr>
          <w:p>
            <w:pPr>
              <w:spacing w:before="60" w:after="60"/>
            </w:pPr>
            <w:r/>
            <w:r>
              <w:rPr>
                <w:b/>
                <w:color w:val="FFFFFF"/>
                <w:sz w:val="17"/>
              </w:rPr>
              <w:t>Contents</w:t>
            </w:r>
          </w:p>
        </w:tc>
        <w:tc>
          <w:tcPr>
            <w:tcW w:type="dxa" w:w="2324"/>
            <w:shd w:val="clear" w:color="auto" w:fill="14304A"/>
          </w:tcPr>
          <w:p>
            <w:pPr>
              <w:spacing w:before="60" w:after="60"/>
            </w:pPr>
            <w:r/>
            <w:r>
              <w:rPr>
                <w:b/>
                <w:color w:val="FFFFFF"/>
                <w:sz w:val="17"/>
              </w:rPr>
              <w:t>Strategy</w:t>
            </w:r>
          </w:p>
        </w:tc>
        <w:tc>
          <w:tcPr>
            <w:tcW w:type="dxa" w:w="1417"/>
            <w:shd w:val="clear" w:color="auto" w:fill="14304A"/>
          </w:tcPr>
          <w:p>
            <w:pPr>
              <w:spacing w:before="60" w:after="60"/>
            </w:pPr>
            <w:r/>
            <w:r>
              <w:rPr>
                <w:b/>
                <w:color w:val="FFFFFF"/>
                <w:sz w:val="17"/>
              </w:rPr>
              <w:t>Purged on new version</w:t>
            </w:r>
          </w:p>
        </w:tc>
      </w:tr>
      <w:tr>
        <w:trPr>
          <w:cantSplit/>
        </w:trPr>
        <w:tc>
          <w:tcPr>
            <w:tcW w:type="dxa" w:w="1020"/>
          </w:tcPr>
          <w:p>
            <w:pPr>
              <w:spacing w:before="50" w:after="50" w:line="259" w:lineRule="auto"/>
            </w:pPr>
            <w:r/>
            <w:r>
              <w:rPr>
                <w:sz w:val="17"/>
              </w:rPr>
              <w:t>Shell</w:t>
            </w:r>
          </w:p>
        </w:tc>
        <w:tc>
          <w:tcPr>
            <w:tcW w:type="dxa" w:w="1701"/>
          </w:tcPr>
          <w:p>
            <w:pPr>
              <w:spacing w:before="50" w:after="50" w:line="259" w:lineRule="auto"/>
            </w:pPr>
            <w:r/>
            <w:r>
              <w:rPr>
                <w:rFonts w:ascii="Consolas" w:hAnsi="Consolas"/>
                <w:color w:val="8B2E4F"/>
                <w:sz w:val="16"/>
              </w:rPr>
              <w:t>hb-v2-shell</w:t>
            </w:r>
          </w:p>
        </w:tc>
        <w:tc>
          <w:tcPr>
            <w:tcW w:type="dxa" w:w="2948"/>
          </w:tcPr>
          <w:p>
            <w:pPr>
              <w:spacing w:before="50" w:after="50" w:line="259" w:lineRule="auto"/>
            </w:pPr>
            <w:r/>
            <w:r>
              <w:rPr>
                <w:sz w:val="17"/>
              </w:rPr>
              <w:t>Core pages, CSS, JS, icons, manifest, Leaflet from unpkg</w:t>
            </w:r>
          </w:p>
        </w:tc>
        <w:tc>
          <w:tcPr>
            <w:tcW w:type="dxa" w:w="2324"/>
          </w:tcPr>
          <w:p>
            <w:pPr>
              <w:spacing w:before="50" w:after="50" w:line="259" w:lineRule="auto"/>
            </w:pPr>
            <w:r/>
            <w:r>
              <w:rPr>
                <w:sz w:val="17"/>
              </w:rPr>
              <w:t>Cache-first</w:t>
            </w:r>
          </w:p>
        </w:tc>
        <w:tc>
          <w:tcPr>
            <w:tcW w:type="dxa" w:w="1417"/>
          </w:tcPr>
          <w:p>
            <w:pPr>
              <w:spacing w:before="50" w:after="50" w:line="259" w:lineRule="auto"/>
            </w:pPr>
            <w:r/>
            <w:r>
              <w:rPr>
                <w:sz w:val="17"/>
              </w:rPr>
              <w:t>Yes</w:t>
            </w:r>
          </w:p>
        </w:tc>
      </w:tr>
      <w:tr>
        <w:trPr>
          <w:cantSplit/>
        </w:trPr>
        <w:tc>
          <w:tcPr>
            <w:tcW w:type="dxa" w:w="1020"/>
            <w:shd w:val="clear" w:color="auto" w:fill="F1F5F9"/>
          </w:tcPr>
          <w:p>
            <w:pPr>
              <w:spacing w:before="50" w:after="50" w:line="259" w:lineRule="auto"/>
            </w:pPr>
            <w:r/>
            <w:r>
              <w:rPr>
                <w:sz w:val="17"/>
              </w:rPr>
              <w:t>Pages</w:t>
            </w:r>
          </w:p>
        </w:tc>
        <w:tc>
          <w:tcPr>
            <w:tcW w:type="dxa" w:w="1701"/>
            <w:shd w:val="clear" w:color="auto" w:fill="F1F5F9"/>
          </w:tcPr>
          <w:p>
            <w:pPr>
              <w:spacing w:before="50" w:after="50" w:line="259" w:lineRule="auto"/>
            </w:pPr>
            <w:r/>
            <w:r>
              <w:rPr>
                <w:rFonts w:ascii="Consolas" w:hAnsi="Consolas"/>
                <w:color w:val="8B2E4F"/>
                <w:sz w:val="16"/>
              </w:rPr>
              <w:t>hb-v2-pages</w:t>
            </w:r>
          </w:p>
        </w:tc>
        <w:tc>
          <w:tcPr>
            <w:tcW w:type="dxa" w:w="2948"/>
            <w:shd w:val="clear" w:color="auto" w:fill="F1F5F9"/>
          </w:tcPr>
          <w:p>
            <w:pPr>
              <w:spacing w:before="50" w:after="50" w:line="259" w:lineRule="auto"/>
            </w:pPr>
            <w:r/>
            <w:r>
              <w:rPr>
                <w:sz w:val="17"/>
              </w:rPr>
              <w:t>Navigations the user has actually visited</w:t>
            </w:r>
          </w:p>
        </w:tc>
        <w:tc>
          <w:tcPr>
            <w:tcW w:type="dxa" w:w="2324"/>
            <w:shd w:val="clear" w:color="auto" w:fill="F1F5F9"/>
          </w:tcPr>
          <w:p>
            <w:pPr>
              <w:spacing w:before="50" w:after="50" w:line="259" w:lineRule="auto"/>
            </w:pPr>
            <w:r/>
            <w:r>
              <w:rPr>
                <w:sz w:val="17"/>
              </w:rPr>
              <w:t>Network-first, falling back to /offline</w:t>
            </w:r>
          </w:p>
        </w:tc>
        <w:tc>
          <w:tcPr>
            <w:tcW w:type="dxa" w:w="1417"/>
            <w:shd w:val="clear" w:color="auto" w:fill="F1F5F9"/>
          </w:tcPr>
          <w:p>
            <w:pPr>
              <w:spacing w:before="50" w:after="50" w:line="259" w:lineRule="auto"/>
            </w:pPr>
            <w:r/>
            <w:r>
              <w:rPr>
                <w:sz w:val="17"/>
              </w:rPr>
              <w:t>Yes</w:t>
            </w:r>
          </w:p>
        </w:tc>
      </w:tr>
      <w:tr>
        <w:trPr>
          <w:cantSplit/>
        </w:trPr>
        <w:tc>
          <w:tcPr>
            <w:tcW w:type="dxa" w:w="1020"/>
          </w:tcPr>
          <w:p>
            <w:pPr>
              <w:spacing w:before="50" w:after="50" w:line="259" w:lineRule="auto"/>
            </w:pPr>
            <w:r/>
            <w:r>
              <w:rPr>
                <w:sz w:val="17"/>
              </w:rPr>
              <w:t>Tiles</w:t>
            </w:r>
          </w:p>
        </w:tc>
        <w:tc>
          <w:tcPr>
            <w:tcW w:type="dxa" w:w="1701"/>
          </w:tcPr>
          <w:p>
            <w:pPr>
              <w:spacing w:before="50" w:after="50" w:line="259" w:lineRule="auto"/>
            </w:pPr>
            <w:r/>
            <w:r>
              <w:rPr>
                <w:rFonts w:ascii="Consolas" w:hAnsi="Consolas"/>
                <w:color w:val="8B2E4F"/>
                <w:sz w:val="16"/>
              </w:rPr>
              <w:t>tm-tiles</w:t>
            </w:r>
          </w:p>
        </w:tc>
        <w:tc>
          <w:tcPr>
            <w:tcW w:type="dxa" w:w="2948"/>
          </w:tcPr>
          <w:p>
            <w:pPr>
              <w:spacing w:before="50" w:after="50" w:line="259" w:lineRule="auto"/>
            </w:pPr>
            <w:r/>
            <w:r>
              <w:rPr>
                <w:sz w:val="17"/>
              </w:rPr>
              <w:t>OpenStreetMap, OpenTopoMap and Waymarked Trails raster tiles</w:t>
            </w:r>
          </w:p>
        </w:tc>
        <w:tc>
          <w:tcPr>
            <w:tcW w:type="dxa" w:w="2324"/>
          </w:tcPr>
          <w:p>
            <w:pPr>
              <w:spacing w:before="50" w:after="50" w:line="259" w:lineRule="auto"/>
            </w:pPr>
            <w:r/>
            <w:r>
              <w:rPr>
                <w:sz w:val="17"/>
              </w:rPr>
              <w:t>Cache-first</w:t>
            </w:r>
          </w:p>
        </w:tc>
        <w:tc>
          <w:tcPr>
            <w:tcW w:type="dxa" w:w="1417"/>
          </w:tcPr>
          <w:p>
            <w:pPr>
              <w:spacing w:before="50" w:after="50" w:line="259" w:lineRule="auto"/>
            </w:pPr>
            <w:r/>
            <w:r>
              <w:rPr>
                <w:sz w:val="17"/>
              </w:rPr>
              <w:t>No — survives updates</w:t>
            </w:r>
          </w:p>
        </w:tc>
      </w:tr>
    </w:tbl>
    <w:p>
      <w:pPr>
        <w:spacing w:after="0"/>
      </w:pPr>
    </w:p>
    <w:p>
      <w:pPr>
        <w:spacing w:after="240"/>
      </w:pPr>
      <w:r>
        <w:rPr>
          <w:i/>
          <w:color w:val="6B7280"/>
          <w:sz w:val="17"/>
        </w:rPr>
        <w:t>Table 4 — Service-worker cache inventory.</w:t>
      </w:r>
    </w:p>
    <w:p>
      <w:r>
        <w:rPr>
          <w:i w:val="0"/>
        </w:rPr>
        <w:t>Routing is decided in the fetch handler by origin and path. Tile hosts and the third-party asset hosts are served cache-first; other cross-origin requests are left entirely alone. Same-origin requests under /api/ are excluded from the worker so live data is never served stale from the HTTP cache — staleness is handled one layer up, in local storage, where it can be labelled with a timestamp. Static assets are cache-first, and navigations are network-first with the /offline page as the final fallback.</w:t>
      </w:r>
    </w:p>
    <w:p>
      <w:r>
        <w:rPr>
          <w:i w:val="0"/>
        </w:rPr>
        <w:t>Tile pre-caching is driven by a message from the page rather than by the worker crawling on its own, and it is throttled: at most four hundred tiles per request, already-cached tiles skipped, and a sixty-millisecond pause between fetches. The comment states the reason — “Throttle to respect OpenStreetMap's tile usage policy (no bulk scraping).” This is a licensing and civic obligation as much as an engineering one, and Section 8 returns to it.</w:t>
      </w:r>
    </w:p>
    <w:p>
      <w:r>
        <w:br w:type="page"/>
      </w:r>
    </w:p>
    <w:p>
      <w:pPr>
        <w:pStyle w:val="Heading1"/>
        <w:pBdr>
          <w:bottom w:val="single" w:sz="8" w:space="6" w:color="C7D2DE"/>
        </w:pBdr>
      </w:pPr>
      <w:r>
        <w:t>3  Module reference</w:t>
      </w:r>
    </w:p>
    <w:p>
      <w:pPr>
        <w:pStyle w:val="Heading2"/>
      </w:pPr>
      <w:r>
        <w:t>3.1  services/live_service.py</w:t>
      </w:r>
    </w:p>
    <w:p>
      <w:r>
        <w:rPr>
          <w:i w:val="0"/>
        </w:rPr>
        <w:t>This module is the data spine. It holds no state beyond module-level constant tables, performs no persistence, and delegates all HTTP to services.http. Its only coupling to Flask is a single read of current_app.config for the TomTom key — a detail that matters for the MCP server, which must therefore provide an application context or a stand-in for one.</w:t>
      </w:r>
    </w:p>
    <w:p>
      <w:pPr>
        <w:pStyle w:val="Heading3"/>
      </w:pPr>
      <w:r>
        <w:t>3.1.1  Provider inventory</w:t>
      </w:r>
    </w:p>
    <w:tbl>
      <w:tblPr>
        <w:tblStyle w:val="TableGrid"/>
        <w:tblW w:type="auto" w:w="0"/>
        <w:jc w:val="left"/>
        <w:tblLayout w:type="fixed"/>
        <w:tblLook w:firstColumn="1" w:firstRow="1" w:lastColumn="0" w:lastRow="0" w:noHBand="0" w:noVBand="1" w:val="04A0"/>
      </w:tblPr>
      <w:tblGrid>
        <w:gridCol w:w="1882"/>
        <w:gridCol w:w="1882"/>
        <w:gridCol w:w="1882"/>
        <w:gridCol w:w="1882"/>
        <w:gridCol w:w="1882"/>
      </w:tblGrid>
      <w:tr>
        <w:trPr>
          <w:tblHeader/>
        </w:trPr>
        <w:tc>
          <w:tcPr>
            <w:tcW w:type="dxa" w:w="1474"/>
            <w:shd w:val="clear" w:color="auto" w:fill="14304A"/>
          </w:tcPr>
          <w:p>
            <w:pPr>
              <w:spacing w:before="60" w:after="60"/>
            </w:pPr>
            <w:r/>
            <w:r>
              <w:rPr>
                <w:b/>
                <w:color w:val="FFFFFF"/>
                <w:sz w:val="17"/>
              </w:rPr>
              <w:t>Provider</w:t>
            </w:r>
          </w:p>
        </w:tc>
        <w:tc>
          <w:tcPr>
            <w:tcW w:type="dxa" w:w="2608"/>
            <w:shd w:val="clear" w:color="auto" w:fill="14304A"/>
          </w:tcPr>
          <w:p>
            <w:pPr>
              <w:spacing w:before="60" w:after="60"/>
            </w:pPr>
            <w:r/>
            <w:r>
              <w:rPr>
                <w:b/>
                <w:color w:val="FFFFFF"/>
                <w:sz w:val="17"/>
              </w:rPr>
              <w:t>Supplies</w:t>
            </w:r>
          </w:p>
        </w:tc>
        <w:tc>
          <w:tcPr>
            <w:tcW w:type="dxa" w:w="1304"/>
            <w:shd w:val="clear" w:color="auto" w:fill="14304A"/>
          </w:tcPr>
          <w:p>
            <w:pPr>
              <w:spacing w:before="60" w:after="60"/>
            </w:pPr>
            <w:r/>
            <w:r>
              <w:rPr>
                <w:b/>
                <w:color w:val="FFFFFF"/>
                <w:sz w:val="17"/>
              </w:rPr>
              <w:t>Key</w:t>
            </w:r>
          </w:p>
        </w:tc>
        <w:tc>
          <w:tcPr>
            <w:tcW w:type="dxa" w:w="1757"/>
            <w:shd w:val="clear" w:color="auto" w:fill="14304A"/>
          </w:tcPr>
          <w:p>
            <w:pPr>
              <w:spacing w:before="60" w:after="60"/>
            </w:pPr>
            <w:r/>
            <w:r>
              <w:rPr>
                <w:b/>
                <w:color w:val="FFFFFF"/>
                <w:sz w:val="17"/>
              </w:rPr>
              <w:t>Cache TTL</w:t>
            </w:r>
          </w:p>
        </w:tc>
        <w:tc>
          <w:tcPr>
            <w:tcW w:type="dxa" w:w="2268"/>
            <w:shd w:val="clear" w:color="auto" w:fill="14304A"/>
          </w:tcPr>
          <w:p>
            <w:pPr>
              <w:spacing w:before="60" w:after="60"/>
            </w:pPr>
            <w:r/>
            <w:r>
              <w:rPr>
                <w:b/>
                <w:color w:val="FFFFFF"/>
                <w:sz w:val="17"/>
              </w:rPr>
              <w:t>Notes</w:t>
            </w:r>
          </w:p>
        </w:tc>
      </w:tr>
      <w:tr>
        <w:trPr>
          <w:cantSplit/>
        </w:trPr>
        <w:tc>
          <w:tcPr>
            <w:tcW w:type="dxa" w:w="1474"/>
          </w:tcPr>
          <w:p>
            <w:pPr>
              <w:spacing w:before="50" w:after="50" w:line="259" w:lineRule="auto"/>
            </w:pPr>
            <w:r/>
            <w:r>
              <w:rPr>
                <w:sz w:val="17"/>
              </w:rPr>
              <w:t>Open-Meteo</w:t>
            </w:r>
          </w:p>
        </w:tc>
        <w:tc>
          <w:tcPr>
            <w:tcW w:type="dxa" w:w="2608"/>
          </w:tcPr>
          <w:p>
            <w:pPr>
              <w:spacing w:before="50" w:after="50" w:line="259" w:lineRule="auto"/>
            </w:pPr>
            <w:r/>
            <w:r>
              <w:rPr>
                <w:sz w:val="17"/>
              </w:rPr>
              <w:t>Current weather, 7-day forecast, forward geocoding, elevation</w:t>
            </w:r>
          </w:p>
        </w:tc>
        <w:tc>
          <w:tcPr>
            <w:tcW w:type="dxa" w:w="1304"/>
          </w:tcPr>
          <w:p>
            <w:pPr>
              <w:spacing w:before="50" w:after="50" w:line="259" w:lineRule="auto"/>
            </w:pPr>
            <w:r/>
            <w:r>
              <w:rPr>
                <w:sz w:val="17"/>
              </w:rPr>
              <w:t>None</w:t>
            </w:r>
          </w:p>
        </w:tc>
        <w:tc>
          <w:tcPr>
            <w:tcW w:type="dxa" w:w="1757"/>
          </w:tcPr>
          <w:p>
            <w:pPr>
              <w:spacing w:before="50" w:after="50" w:line="259" w:lineRule="auto"/>
            </w:pPr>
            <w:r/>
            <w:r>
              <w:rPr>
                <w:sz w:val="17"/>
              </w:rPr>
              <w:t>600 s weather, 86 400 s geocode and elevation</w:t>
            </w:r>
          </w:p>
        </w:tc>
        <w:tc>
          <w:tcPr>
            <w:tcW w:type="dxa" w:w="2268"/>
          </w:tcPr>
          <w:p>
            <w:pPr>
              <w:spacing w:before="50" w:after="50" w:line="259" w:lineRule="auto"/>
            </w:pPr>
            <w:r/>
            <w:r>
              <w:rPr>
                <w:sz w:val="17"/>
              </w:rPr>
              <w:t>Primary provider; no attribution key needed</w:t>
            </w:r>
          </w:p>
        </w:tc>
      </w:tr>
      <w:tr>
        <w:trPr>
          <w:cantSplit/>
        </w:trPr>
        <w:tc>
          <w:tcPr>
            <w:tcW w:type="dxa" w:w="1474"/>
            <w:shd w:val="clear" w:color="auto" w:fill="F1F5F9"/>
          </w:tcPr>
          <w:p>
            <w:pPr>
              <w:spacing w:before="50" w:after="50" w:line="259" w:lineRule="auto"/>
            </w:pPr>
            <w:r/>
            <w:r>
              <w:rPr>
                <w:sz w:val="17"/>
              </w:rPr>
              <w:t>GDACS (UN/EC JRC)</w:t>
            </w:r>
          </w:p>
        </w:tc>
        <w:tc>
          <w:tcPr>
            <w:tcW w:type="dxa" w:w="2608"/>
            <w:shd w:val="clear" w:color="auto" w:fill="F1F5F9"/>
          </w:tcPr>
          <w:p>
            <w:pPr>
              <w:spacing w:before="50" w:after="50" w:line="259" w:lineRule="auto"/>
            </w:pPr>
            <w:r/>
            <w:r>
              <w:rPr>
                <w:sz w:val="17"/>
              </w:rPr>
              <w:t>Active earthquakes, cyclones, floods, volcanoes, drought, wildfire, tsunami</w:t>
            </w:r>
          </w:p>
        </w:tc>
        <w:tc>
          <w:tcPr>
            <w:tcW w:type="dxa" w:w="1304"/>
            <w:shd w:val="clear" w:color="auto" w:fill="F1F5F9"/>
          </w:tcPr>
          <w:p>
            <w:pPr>
              <w:spacing w:before="50" w:after="50" w:line="259" w:lineRule="auto"/>
            </w:pPr>
            <w:r/>
            <w:r>
              <w:rPr>
                <w:sz w:val="17"/>
              </w:rPr>
              <w:t>None</w:t>
            </w:r>
          </w:p>
        </w:tc>
        <w:tc>
          <w:tcPr>
            <w:tcW w:type="dxa" w:w="1757"/>
            <w:shd w:val="clear" w:color="auto" w:fill="F1F5F9"/>
          </w:tcPr>
          <w:p>
            <w:pPr>
              <w:spacing w:before="50" w:after="50" w:line="259" w:lineRule="auto"/>
            </w:pPr>
            <w:r/>
            <w:r>
              <w:rPr>
                <w:sz w:val="17"/>
              </w:rPr>
              <w:t>900 s</w:t>
            </w:r>
          </w:p>
        </w:tc>
        <w:tc>
          <w:tcPr>
            <w:tcW w:type="dxa" w:w="2268"/>
            <w:shd w:val="clear" w:color="auto" w:fill="F1F5F9"/>
          </w:tcPr>
          <w:p>
            <w:pPr>
              <w:spacing w:before="50" w:after="50" w:line="259" w:lineRule="auto"/>
            </w:pPr>
            <w:r/>
            <w:r>
              <w:rPr>
                <w:sz w:val="17"/>
              </w:rPr>
              <w:t>Two endpoints attempted in order; see 3.1.6</w:t>
            </w:r>
          </w:p>
        </w:tc>
      </w:tr>
      <w:tr>
        <w:trPr>
          <w:cantSplit/>
        </w:trPr>
        <w:tc>
          <w:tcPr>
            <w:tcW w:type="dxa" w:w="1474"/>
          </w:tcPr>
          <w:p>
            <w:pPr>
              <w:spacing w:before="50" w:after="50" w:line="259" w:lineRule="auto"/>
            </w:pPr>
            <w:r/>
            <w:r>
              <w:rPr>
                <w:sz w:val="17"/>
              </w:rPr>
              <w:t>US NWS</w:t>
            </w:r>
          </w:p>
        </w:tc>
        <w:tc>
          <w:tcPr>
            <w:tcW w:type="dxa" w:w="2608"/>
          </w:tcPr>
          <w:p>
            <w:pPr>
              <w:spacing w:before="50" w:after="50" w:line="259" w:lineRule="auto"/>
            </w:pPr>
            <w:r/>
            <w:r>
              <w:rPr>
                <w:sz w:val="17"/>
              </w:rPr>
              <w:t>Official weather warnings for US points</w:t>
            </w:r>
          </w:p>
        </w:tc>
        <w:tc>
          <w:tcPr>
            <w:tcW w:type="dxa" w:w="1304"/>
          </w:tcPr>
          <w:p>
            <w:pPr>
              <w:spacing w:before="50" w:after="50" w:line="259" w:lineRule="auto"/>
            </w:pPr>
            <w:r/>
            <w:r>
              <w:rPr>
                <w:sz w:val="17"/>
              </w:rPr>
              <w:t>None</w:t>
            </w:r>
          </w:p>
        </w:tc>
        <w:tc>
          <w:tcPr>
            <w:tcW w:type="dxa" w:w="1757"/>
          </w:tcPr>
          <w:p>
            <w:pPr>
              <w:spacing w:before="50" w:after="50" w:line="259" w:lineRule="auto"/>
            </w:pPr>
            <w:r/>
            <w:r>
              <w:rPr>
                <w:sz w:val="17"/>
              </w:rPr>
              <w:t>300 s</w:t>
            </w:r>
          </w:p>
        </w:tc>
        <w:tc>
          <w:tcPr>
            <w:tcW w:type="dxa" w:w="2268"/>
          </w:tcPr>
          <w:p>
            <w:pPr>
              <w:spacing w:before="50" w:after="50" w:line="259" w:lineRule="auto"/>
            </w:pPr>
            <w:r/>
            <w:r>
              <w:rPr>
                <w:sz w:val="17"/>
              </w:rPr>
              <w:t>Requires the GeoJSON Accept header; only used when country code is US</w:t>
            </w:r>
          </w:p>
        </w:tc>
      </w:tr>
      <w:tr>
        <w:trPr>
          <w:cantSplit/>
        </w:trPr>
        <w:tc>
          <w:tcPr>
            <w:tcW w:type="dxa" w:w="1474"/>
            <w:shd w:val="clear" w:color="auto" w:fill="F1F5F9"/>
          </w:tcPr>
          <w:p>
            <w:pPr>
              <w:spacing w:before="50" w:after="50" w:line="259" w:lineRule="auto"/>
            </w:pPr>
            <w:r/>
            <w:r>
              <w:rPr>
                <w:sz w:val="17"/>
              </w:rPr>
              <w:t>TomTom Traffic</w:t>
            </w:r>
          </w:p>
        </w:tc>
        <w:tc>
          <w:tcPr>
            <w:tcW w:type="dxa" w:w="2608"/>
            <w:shd w:val="clear" w:color="auto" w:fill="F1F5F9"/>
          </w:tcPr>
          <w:p>
            <w:pPr>
              <w:spacing w:before="50" w:after="50" w:line="259" w:lineRule="auto"/>
            </w:pPr>
            <w:r/>
            <w:r>
              <w:rPr>
                <w:sz w:val="17"/>
              </w:rPr>
              <w:t>Road closures, accidents, flooding, roadworks</w:t>
            </w:r>
          </w:p>
        </w:tc>
        <w:tc>
          <w:tcPr>
            <w:tcW w:type="dxa" w:w="1304"/>
            <w:shd w:val="clear" w:color="auto" w:fill="F1F5F9"/>
          </w:tcPr>
          <w:p>
            <w:pPr>
              <w:spacing w:before="50" w:after="50" w:line="259" w:lineRule="auto"/>
            </w:pPr>
            <w:r/>
            <w:r>
              <w:rPr>
                <w:rFonts w:ascii="Consolas" w:hAnsi="Consolas"/>
                <w:color w:val="8B2E4F"/>
                <w:sz w:val="16"/>
              </w:rPr>
              <w:t>TOMTOM_API_KEY</w:t>
            </w:r>
          </w:p>
        </w:tc>
        <w:tc>
          <w:tcPr>
            <w:tcW w:type="dxa" w:w="1757"/>
            <w:shd w:val="clear" w:color="auto" w:fill="F1F5F9"/>
          </w:tcPr>
          <w:p>
            <w:pPr>
              <w:spacing w:before="50" w:after="50" w:line="259" w:lineRule="auto"/>
            </w:pPr>
            <w:r/>
            <w:r>
              <w:rPr>
                <w:sz w:val="17"/>
              </w:rPr>
              <w:t>300 s</w:t>
            </w:r>
          </w:p>
        </w:tc>
        <w:tc>
          <w:tcPr>
            <w:tcW w:type="dxa" w:w="2268"/>
            <w:shd w:val="clear" w:color="auto" w:fill="F1F5F9"/>
          </w:tcPr>
          <w:p>
            <w:pPr>
              <w:spacing w:before="50" w:after="50" w:line="259" w:lineRule="auto"/>
            </w:pPr>
            <w:r/>
            <w:r>
              <w:rPr>
                <w:sz w:val="17"/>
              </w:rPr>
              <w:t>Optional; returns a configured:false notice when unset</w:t>
            </w:r>
          </w:p>
        </w:tc>
      </w:tr>
    </w:tbl>
    <w:p>
      <w:pPr>
        <w:spacing w:after="0"/>
      </w:pPr>
    </w:p>
    <w:p>
      <w:pPr>
        <w:spacing w:after="240"/>
      </w:pPr>
      <w:r>
        <w:rPr>
          <w:i/>
          <w:color w:val="6B7280"/>
          <w:sz w:val="17"/>
        </w:rPr>
        <w:t>Table 5 — Providers used by the live service.</w:t>
      </w:r>
    </w:p>
    <w:p>
      <w:pPr>
        <w:pStyle w:val="Heading3"/>
      </w:pPr>
      <w:r>
        <w:t>3.1.2  Geocoding</w:t>
      </w:r>
    </w:p>
    <w:p>
      <w:r>
        <w:rPr>
          <w:rFonts w:ascii="Consolas" w:hAnsi="Consolas"/>
          <w:color w:val="8B2E4F"/>
          <w:sz w:val="19"/>
        </w:rPr>
        <w:t>geocode(query, count=5)</w:t>
      </w:r>
      <w:r>
        <w:t xml:space="preserve"> queries the Open-Meteo geocoding API and flattens each hit into a stable shape: name, admin1, country, country_code, lat, lon, elevation, timezone, and a human-readable </w:t>
      </w:r>
      <w:r>
        <w:rPr>
          <w:rFonts w:ascii="Consolas" w:hAnsi="Consolas"/>
          <w:color w:val="8B2E4F"/>
          <w:sz w:val="19"/>
        </w:rPr>
        <w:t>label</w:t>
      </w:r>
      <w:r>
        <w:t xml:space="preserve"> assembled from whichever of name, region and country are present. The long twenty-four-hour cache is appropriate because place coordinates do not move.</w:t>
      </w:r>
    </w:p>
    <w:p>
      <w:pPr>
        <w:pStyle w:val="Heading3"/>
      </w:pPr>
      <w:r>
        <w:t>3.1.3  Weather and forecast</w:t>
      </w:r>
    </w:p>
    <w:p>
      <w:r>
        <w:rPr>
          <w:i w:val="0"/>
        </w:rPr>
        <w:t>A single Open-Meteo forecast request retrieves both current conditions and seven daily aggregates, with timezone resolution delegated to the provider through timezone=auto. Current conditions comprise temperature, apparent temperature, relative humidity, precipitation, weather code, wind speed, wind gusts and a day/night flag. Daily aggregates comprise weather code, maximum and minimum temperature, precipitation sum and maximum probability, maximum wind speed, maximum UV index, sunrise and sunset.</w:t>
      </w:r>
    </w:p>
    <w:p>
      <w:r>
        <w:rPr>
          <w:i w:val="0"/>
        </w:rPr>
        <w:t>Numeric WMO weather codes are translated through a module-level table into a short English summary and an emoji glyph, with an unknown-code fallback so an unrecognised code degrades to “Unknown” rather than raising. The returned structure separates current from forecast, each with its own source and label, and attaches units, timezone, provider attribution, a fetch timestamp and the derived alerts described next.</w:t>
      </w:r>
    </w:p>
    <w:p>
      <w:pPr>
        <w:pStyle w:val="Heading3"/>
      </w:pPr>
      <w:r>
        <w:t>3.1.4  Derived alerts</w:t>
      </w:r>
    </w:p>
    <w:p>
      <w:r>
        <w:rPr>
          <w:i w:val="0"/>
        </w:rPr>
        <w:t>The only inferential logic in the module examines the first three forecast days and raises plain-language flags against fixed thresholds. The function's own docstring describes these as “Simple threshold flags computed from the forecast — labelled as such, not official warnings,” and the returned payload repeats that caveat in its label field.</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trPr>
        <w:tc>
          <w:tcPr>
            <w:tcW w:type="dxa" w:w="1928"/>
            <w:shd w:val="clear" w:color="auto" w:fill="14304A"/>
          </w:tcPr>
          <w:p>
            <w:pPr>
              <w:spacing w:before="60" w:after="60"/>
            </w:pPr>
            <w:r/>
            <w:r>
              <w:rPr>
                <w:b/>
                <w:color w:val="FFFFFF"/>
                <w:sz w:val="17"/>
              </w:rPr>
              <w:t>Condition</w:t>
            </w:r>
          </w:p>
        </w:tc>
        <w:tc>
          <w:tcPr>
            <w:tcW w:type="dxa" w:w="3175"/>
            <w:shd w:val="clear" w:color="auto" w:fill="14304A"/>
          </w:tcPr>
          <w:p>
            <w:pPr>
              <w:spacing w:before="60" w:after="60"/>
            </w:pPr>
            <w:r/>
            <w:r>
              <w:rPr>
                <w:b/>
                <w:color w:val="FFFFFF"/>
                <w:sz w:val="17"/>
              </w:rPr>
              <w:t>Threshold</w:t>
            </w:r>
          </w:p>
        </w:tc>
        <w:tc>
          <w:tcPr>
            <w:tcW w:type="dxa" w:w="4309"/>
            <w:shd w:val="clear" w:color="auto" w:fill="14304A"/>
          </w:tcPr>
          <w:p>
            <w:pPr>
              <w:spacing w:before="60" w:after="60"/>
            </w:pPr>
            <w:r/>
            <w:r>
              <w:rPr>
                <w:b/>
                <w:color w:val="FFFFFF"/>
                <w:sz w:val="17"/>
              </w:rPr>
              <w:t>Flag text</w:t>
            </w:r>
          </w:p>
        </w:tc>
      </w:tr>
      <w:tr>
        <w:trPr>
          <w:cantSplit/>
        </w:trPr>
        <w:tc>
          <w:tcPr>
            <w:tcW w:type="dxa" w:w="1928"/>
          </w:tcPr>
          <w:p>
            <w:pPr>
              <w:spacing w:before="50" w:after="50" w:line="259" w:lineRule="auto"/>
            </w:pPr>
            <w:r/>
            <w:r>
              <w:rPr>
                <w:sz w:val="17"/>
              </w:rPr>
              <w:t>Very heavy rain</w:t>
            </w:r>
          </w:p>
        </w:tc>
        <w:tc>
          <w:tcPr>
            <w:tcW w:type="dxa" w:w="3175"/>
          </w:tcPr>
          <w:p>
            <w:pPr>
              <w:spacing w:before="50" w:after="50" w:line="259" w:lineRule="auto"/>
            </w:pPr>
            <w:r/>
            <w:r>
              <w:rPr>
                <w:sz w:val="17"/>
              </w:rPr>
              <w:t>precipitation ≥ 50 mm in a day</w:t>
            </w:r>
          </w:p>
        </w:tc>
        <w:tc>
          <w:tcPr>
            <w:tcW w:type="dxa" w:w="4309"/>
          </w:tcPr>
          <w:p>
            <w:pPr>
              <w:spacing w:before="50" w:after="50" w:line="259" w:lineRule="auto"/>
            </w:pPr>
            <w:r/>
            <w:r>
              <w:rPr>
                <w:sz w:val="17"/>
              </w:rPr>
              <w:t>“very heavy rain forecast … — landslide/flood risk in hills”</w:t>
            </w:r>
          </w:p>
        </w:tc>
      </w:tr>
      <w:tr>
        <w:trPr>
          <w:cantSplit/>
        </w:trPr>
        <w:tc>
          <w:tcPr>
            <w:tcW w:type="dxa" w:w="1928"/>
            <w:shd w:val="clear" w:color="auto" w:fill="F1F5F9"/>
          </w:tcPr>
          <w:p>
            <w:pPr>
              <w:spacing w:before="50" w:after="50" w:line="259" w:lineRule="auto"/>
            </w:pPr>
            <w:r/>
            <w:r>
              <w:rPr>
                <w:sz w:val="17"/>
              </w:rPr>
              <w:t>Heavy rain</w:t>
            </w:r>
          </w:p>
        </w:tc>
        <w:tc>
          <w:tcPr>
            <w:tcW w:type="dxa" w:w="3175"/>
            <w:shd w:val="clear" w:color="auto" w:fill="F1F5F9"/>
          </w:tcPr>
          <w:p>
            <w:pPr>
              <w:spacing w:before="50" w:after="50" w:line="259" w:lineRule="auto"/>
            </w:pPr>
            <w:r/>
            <w:r>
              <w:rPr>
                <w:sz w:val="17"/>
              </w:rPr>
              <w:t>precipitation ≥ 20 mm in a day</w:t>
            </w:r>
          </w:p>
        </w:tc>
        <w:tc>
          <w:tcPr>
            <w:tcW w:type="dxa" w:w="4309"/>
            <w:shd w:val="clear" w:color="auto" w:fill="F1F5F9"/>
          </w:tcPr>
          <w:p>
            <w:pPr>
              <w:spacing w:before="50" w:after="50" w:line="259" w:lineRule="auto"/>
            </w:pPr>
            <w:r/>
            <w:r>
              <w:rPr>
                <w:sz w:val="17"/>
              </w:rPr>
              <w:t>“heavy rain forecast”</w:t>
            </w:r>
          </w:p>
        </w:tc>
      </w:tr>
      <w:tr>
        <w:trPr>
          <w:cantSplit/>
        </w:trPr>
        <w:tc>
          <w:tcPr>
            <w:tcW w:type="dxa" w:w="1928"/>
          </w:tcPr>
          <w:p>
            <w:pPr>
              <w:spacing w:before="50" w:after="50" w:line="259" w:lineRule="auto"/>
            </w:pPr>
            <w:r/>
            <w:r>
              <w:rPr>
                <w:sz w:val="17"/>
              </w:rPr>
              <w:t>Strong winds</w:t>
            </w:r>
          </w:p>
        </w:tc>
        <w:tc>
          <w:tcPr>
            <w:tcW w:type="dxa" w:w="3175"/>
          </w:tcPr>
          <w:p>
            <w:pPr>
              <w:spacing w:before="50" w:after="50" w:line="259" w:lineRule="auto"/>
            </w:pPr>
            <w:r/>
            <w:r>
              <w:rPr>
                <w:sz w:val="17"/>
              </w:rPr>
              <w:t>maximum wind ≥ 50 km/h</w:t>
            </w:r>
          </w:p>
        </w:tc>
        <w:tc>
          <w:tcPr>
            <w:tcW w:type="dxa" w:w="4309"/>
          </w:tcPr>
          <w:p>
            <w:pPr>
              <w:spacing w:before="50" w:after="50" w:line="259" w:lineRule="auto"/>
            </w:pPr>
            <w:r/>
            <w:r>
              <w:rPr>
                <w:sz w:val="17"/>
              </w:rPr>
              <w:t>“strong winds forecast (up to N km/h)”</w:t>
            </w:r>
          </w:p>
        </w:tc>
      </w:tr>
      <w:tr>
        <w:trPr>
          <w:cantSplit/>
        </w:trPr>
        <w:tc>
          <w:tcPr>
            <w:tcW w:type="dxa" w:w="1928"/>
            <w:shd w:val="clear" w:color="auto" w:fill="F1F5F9"/>
          </w:tcPr>
          <w:p>
            <w:pPr>
              <w:spacing w:before="50" w:after="50" w:line="259" w:lineRule="auto"/>
            </w:pPr>
            <w:r/>
            <w:r>
              <w:rPr>
                <w:sz w:val="17"/>
              </w:rPr>
              <w:t>Extreme heat</w:t>
            </w:r>
          </w:p>
        </w:tc>
        <w:tc>
          <w:tcPr>
            <w:tcW w:type="dxa" w:w="3175"/>
            <w:shd w:val="clear" w:color="auto" w:fill="F1F5F9"/>
          </w:tcPr>
          <w:p>
            <w:pPr>
              <w:spacing w:before="50" w:after="50" w:line="259" w:lineRule="auto"/>
            </w:pPr>
            <w:r/>
            <w:r>
              <w:rPr>
                <w:sz w:val="17"/>
              </w:rPr>
              <w:t>maximum temperature ≥ 40 °C</w:t>
            </w:r>
          </w:p>
        </w:tc>
        <w:tc>
          <w:tcPr>
            <w:tcW w:type="dxa" w:w="4309"/>
            <w:shd w:val="clear" w:color="auto" w:fill="F1F5F9"/>
          </w:tcPr>
          <w:p>
            <w:pPr>
              <w:spacing w:before="50" w:after="50" w:line="259" w:lineRule="auto"/>
            </w:pPr>
            <w:r/>
            <w:r>
              <w:rPr>
                <w:sz w:val="17"/>
              </w:rPr>
              <w:t>“extreme heat forecast”</w:t>
            </w:r>
          </w:p>
        </w:tc>
      </w:tr>
      <w:tr>
        <w:trPr>
          <w:cantSplit/>
        </w:trPr>
        <w:tc>
          <w:tcPr>
            <w:tcW w:type="dxa" w:w="1928"/>
          </w:tcPr>
          <w:p>
            <w:pPr>
              <w:spacing w:before="50" w:after="50" w:line="259" w:lineRule="auto"/>
            </w:pPr>
            <w:r/>
            <w:r>
              <w:rPr>
                <w:sz w:val="17"/>
              </w:rPr>
              <w:t>Hard frost</w:t>
            </w:r>
          </w:p>
        </w:tc>
        <w:tc>
          <w:tcPr>
            <w:tcW w:type="dxa" w:w="3175"/>
          </w:tcPr>
          <w:p>
            <w:pPr>
              <w:spacing w:before="50" w:after="50" w:line="259" w:lineRule="auto"/>
            </w:pPr>
            <w:r/>
            <w:r>
              <w:rPr>
                <w:sz w:val="17"/>
              </w:rPr>
              <w:t>minimum temperature ≤ −5 °C</w:t>
            </w:r>
          </w:p>
        </w:tc>
        <w:tc>
          <w:tcPr>
            <w:tcW w:type="dxa" w:w="4309"/>
          </w:tcPr>
          <w:p>
            <w:pPr>
              <w:spacing w:before="50" w:after="50" w:line="259" w:lineRule="auto"/>
            </w:pPr>
            <w:r/>
            <w:r>
              <w:rPr>
                <w:sz w:val="17"/>
              </w:rPr>
              <w:t>“hard frost forecast”</w:t>
            </w:r>
          </w:p>
        </w:tc>
      </w:tr>
      <w:tr>
        <w:trPr>
          <w:cantSplit/>
        </w:trPr>
        <w:tc>
          <w:tcPr>
            <w:tcW w:type="dxa" w:w="1928"/>
            <w:shd w:val="clear" w:color="auto" w:fill="F1F5F9"/>
          </w:tcPr>
          <w:p>
            <w:pPr>
              <w:spacing w:before="50" w:after="50" w:line="259" w:lineRule="auto"/>
            </w:pPr>
            <w:r/>
            <w:r>
              <w:rPr>
                <w:sz w:val="17"/>
              </w:rPr>
              <w:t>Thunderstorms</w:t>
            </w:r>
          </w:p>
        </w:tc>
        <w:tc>
          <w:tcPr>
            <w:tcW w:type="dxa" w:w="3175"/>
            <w:shd w:val="clear" w:color="auto" w:fill="F1F5F9"/>
          </w:tcPr>
          <w:p>
            <w:pPr>
              <w:spacing w:before="50" w:after="50" w:line="259" w:lineRule="auto"/>
            </w:pPr>
            <w:r/>
            <w:r>
              <w:rPr>
                <w:sz w:val="17"/>
              </w:rPr>
              <w:t>WMO code 95, 96 or 99</w:t>
            </w:r>
          </w:p>
        </w:tc>
        <w:tc>
          <w:tcPr>
            <w:tcW w:type="dxa" w:w="4309"/>
            <w:shd w:val="clear" w:color="auto" w:fill="F1F5F9"/>
          </w:tcPr>
          <w:p>
            <w:pPr>
              <w:spacing w:before="50" w:after="50" w:line="259" w:lineRule="auto"/>
            </w:pPr>
            <w:r/>
            <w:r>
              <w:rPr>
                <w:sz w:val="17"/>
              </w:rPr>
              <w:t>“thunderstorms forecast”</w:t>
            </w:r>
          </w:p>
        </w:tc>
      </w:tr>
    </w:tbl>
    <w:p>
      <w:pPr>
        <w:spacing w:after="0"/>
      </w:pPr>
    </w:p>
    <w:p>
      <w:pPr>
        <w:spacing w:after="240"/>
      </w:pPr>
      <w:r>
        <w:rPr>
          <w:i/>
          <w:color w:val="6B7280"/>
          <w:sz w:val="17"/>
        </w:rPr>
        <w:t>Table 6 — Derived alert thresholds, evaluated over the next three forecast days.</w:t>
      </w:r>
    </w:p>
    <w:p>
      <w:r>
        <w:rPr>
          <w:i w:val="0"/>
        </w:rPr>
        <w:t>The thresholds are global constants, which is the module's most significant simplification: fifty millimetres of rain in a day is unremarkable in Cherrapunji and extraordinary in Jaisalmer. Section 6 proposes replacing absolute thresholds with location-relative percentiles.</w:t>
      </w:r>
    </w:p>
    <w:p>
      <w:pPr>
        <w:pStyle w:val="Heading3"/>
      </w:pPr>
      <w:r>
        <w:t>3.1.5  Elevation and distance</w:t>
      </w:r>
    </w:p>
    <w:p>
      <w:r>
        <w:rPr>
          <w:rFonts w:ascii="Consolas" w:hAnsi="Consolas"/>
          <w:color w:val="8B2E4F"/>
          <w:sz w:val="19"/>
        </w:rPr>
        <w:t>elevation(lats, lons)</w:t>
      </w:r>
      <w:r>
        <w:t xml:space="preserve"> batches coordinates into one Open-Meteo elevation request and returns the array of metre values. A private </w:t>
      </w:r>
      <w:r>
        <w:rPr>
          <w:rFonts w:ascii="Consolas" w:hAnsi="Consolas"/>
          <w:color w:val="8B2E4F"/>
          <w:sz w:val="19"/>
        </w:rPr>
        <w:t>_haversine</w:t>
      </w:r>
      <w:r>
        <w:t xml:space="preserve"> helper computes great-circle distance on a 6 371 km sphere; it is used to filter disaster events by radius and to report how far each event is from the point of interest.</w:t>
      </w:r>
    </w:p>
    <w:p>
      <w:pPr>
        <w:pStyle w:val="Heading3"/>
      </w:pPr>
      <w:r>
        <w:t>3.1.6  The GDACS disaster feed</w:t>
      </w:r>
    </w:p>
    <w:p>
      <w:r>
        <w:rPr>
          <w:i w:val="0"/>
        </w:rPr>
        <w:t>This is the most defensive code in the module, and the comment explains why: “The old /MAP feed now answers HTTP 400, so use the documented endpoints.” Two endpoints are attempted in sequence. The first is the lightweight events4app listing. If that fails, a SEARCH query is issued covering all seven event types, all three alert levels, and a fourteen-day window ending today, with a page size of one hundred. A response is accepted only if it is a dictionary containing a features list; anything else falls through to the next attempt.</w:t>
      </w:r>
    </w:p>
    <w:p>
      <w:pPr>
        <w:spacing w:before="140" w:after="0" w:line="240" w:lineRule="auto"/>
        <w:ind w:left="198" w:right="113"/>
        <w:keepNext/>
        <w:shd w:val="clear" w:color="auto" w:fill="F6F7F9"/>
        <w:pBdr>
          <w:left w:val="single" w:sz="18" w:space="6" w:color="C7D2DE"/>
        </w:pBdr>
      </w:pPr>
      <w:r>
        <w:rPr>
          <w:rFonts w:ascii="Consolas" w:hAnsi="Consolas"/>
          <w:color w:val="1E293B"/>
          <w:sz w:val="17"/>
        </w:rPr>
        <w:t>attempts =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(f"{GDACS_API}/events4app", None),</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(f"{GDACS_API}/SEARCH", {"eventlist": "EQ;TC;FL;VO;DR;WF;TS",</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"alertlevel": "red;orange;green",</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"fromdate": (today - timedelta(days=14)).isoformat(),</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"todate": today.isoformat(), "pagesize": 100}),</w:t>
      </w:r>
    </w:p>
    <w:p>
      <w:pPr>
        <w:spacing w:before="0" w:after="140" w:line="240" w:lineRule="auto"/>
        <w:ind w:left="198" w:right="113"/>
        <w:shd w:val="clear" w:color="auto" w:fill="F6F7F9"/>
        <w:pBdr>
          <w:left w:val="single" w:sz="18" w:space="6" w:color="C7D2DE"/>
        </w:pBdr>
      </w:pPr>
      <w:r>
        <w:rPr>
          <w:rFonts w:ascii="Consolas" w:hAnsi="Consolas"/>
          <w:color w:val="1E293B"/>
          <w:sz w:val="17"/>
        </w:rPr>
        <w:t>]</w:t>
      </w:r>
    </w:p>
    <w:p>
      <w:pPr>
        <w:spacing w:after="200"/>
        <w:ind w:left="198"/>
      </w:pPr>
      <w:r>
        <w:rPr>
          <w:i/>
          <w:color w:val="6B7280"/>
          <w:sz w:val="17"/>
        </w:rPr>
        <w:t>services/live_service.py — _gdacs_feed() endpoint fallback chain.</w:t>
      </w:r>
    </w:p>
    <w:p>
      <w:r>
        <w:rPr>
          <w:i w:val="0"/>
        </w:rPr>
        <w:t>If both fail, a ProviderError is raised carrying the user-facing message quoted in Section 2.5, with the last underlying error appended for diagnosis. The surrounding function then performs three further pieces of normalisation. It de-duplicates, because GDACS repeats one event as a point feature and again as affected-area polygons — the code comment says exactly this — keying on the pair of event type and event identifier. It derives a representative coordinate for each feature, taking the coordinate directly for a Point and the centroid of the first ring for a Polygon or MultiPolygon, guarded against malformed geometry. And it filters by great-circle distance against a default radius of eight hundred kilometres, sorts ascending by distance, and truncates to fifteen events.</w:t>
      </w:r>
    </w:p>
    <w:p>
      <w:pPr>
        <w:spacing w:before="160" w:after="40"/>
        <w:ind w:left="198" w:right="113"/>
        <w:shd w:val="clear" w:color="auto" w:fill="FEF6E7"/>
        <w:pBdr>
          <w:left w:val="single" w:sz="18" w:space="6" w:color="B45309"/>
        </w:pBdr>
        <w:keepNext/>
      </w:pPr>
      <w:r>
        <w:rPr>
          <w:b/>
          <w:color w:val="7C2D12"/>
          <w:sz w:val="19"/>
        </w:rPr>
        <w:t>Why eight hundred kilometres</w:t>
      </w:r>
    </w:p>
    <w:p>
      <w:pPr>
        <w:spacing w:before="0" w:after="200"/>
        <w:ind w:left="198" w:right="113"/>
        <w:shd w:val="clear" w:color="auto" w:fill="FEF6E7"/>
        <w:pBdr>
          <w:left w:val="single" w:sz="18" w:space="6" w:color="B45309"/>
        </w:pBdr>
      </w:pPr>
      <w:r>
        <w:rPr>
          <w:color w:val="432B15"/>
          <w:sz w:val="19"/>
        </w:rPr>
        <w:t>The default radius looks generous for a “nearby” query, and it is deliberate. A tropical cyclone six hundred kilometres offshore closes airports, cancels trains and saturates road networks long before its wind field arrives. Proximity to the hazard is not the same as exposure to its consequences.</w:t>
      </w:r>
    </w:p>
    <w:p>
      <w:pPr>
        <w:pStyle w:val="Heading3"/>
      </w:pPr>
      <w:r>
        <w:t>3.1.7  Official alerts and road incidents</w:t>
      </w:r>
    </w:p>
    <w:p>
      <w:r>
        <w:rPr>
          <w:rFonts w:ascii="Consolas" w:hAnsi="Consolas"/>
          <w:color w:val="8B2E4F"/>
          <w:sz w:val="19"/>
        </w:rPr>
        <w:t>nws_alerts(lat, lon)</w:t>
      </w:r>
      <w:r>
        <w:t xml:space="preserve"> queries the US National Weather Service active-alerts endpoint for a point, requesting </w:t>
      </w:r>
      <w:r>
        <w:rPr>
          <w:rFonts w:ascii="Consolas" w:hAnsi="Consolas"/>
          <w:color w:val="8B2E4F"/>
          <w:sz w:val="19"/>
        </w:rPr>
        <w:t>application/geo+json</w:t>
      </w:r>
      <w:r>
        <w:t xml:space="preserve"> explicitly, and projects each feature down to event, severity, headline, area description, expiry and — importantly — the official instruction text, which is the part a user must act on verbatim.</w:t>
      </w:r>
    </w:p>
    <w:p>
      <w:r>
        <w:rPr>
          <w:rFonts w:ascii="Consolas" w:hAnsi="Consolas"/>
          <w:color w:val="8B2E4F"/>
          <w:sz w:val="19"/>
        </w:rPr>
        <w:t>road_incidents(lat, lon, km=20)</w:t>
      </w:r>
      <w:r>
        <w:t xml:space="preserve"> first checks for a configured TomTom key. Without one it returns a structured notice rather than an error: </w:t>
      </w:r>
      <w:r>
        <w:rPr>
          <w:rFonts w:ascii="Consolas" w:hAnsi="Consolas"/>
          <w:color w:val="8B2E4F"/>
          <w:sz w:val="19"/>
        </w:rPr>
        <w:t>configured: false</w:t>
      </w:r>
      <w:r>
        <w:t>, a label, an empty items list, and a message advising the user to check local police, traffic authority and state highway channels. With a key, it converts the radius to a degree-based bounding box using a flat 111 km per degree approximation, requests incident details with an explicit field projection, and maps TomTom's numeric icon categories to readable labels — jam, lane closed, road closed, road works, accident, flooding — before truncating to twenty-five items.</w:t>
      </w:r>
    </w:p>
    <w:p>
      <w:pPr>
        <w:spacing w:before="160" w:after="40"/>
        <w:ind w:left="198" w:right="113"/>
        <w:shd w:val="clear" w:color="auto" w:fill="FEF6E7"/>
        <w:pBdr>
          <w:left w:val="single" w:sz="18" w:space="6" w:color="B45309"/>
        </w:pBdr>
        <w:keepNext/>
      </w:pPr>
      <w:r>
        <w:rPr>
          <w:b/>
          <w:color w:val="7C2D12"/>
          <w:sz w:val="19"/>
        </w:rPr>
        <w:t>A latitude-dependent approximation</w:t>
      </w:r>
    </w:p>
    <w:p>
      <w:pPr>
        <w:spacing w:before="0" w:after="200"/>
        <w:ind w:left="198" w:right="113"/>
        <w:shd w:val="clear" w:color="auto" w:fill="FEF6E7"/>
        <w:pBdr>
          <w:left w:val="single" w:sz="18" w:space="6" w:color="B45309"/>
        </w:pBdr>
      </w:pPr>
      <w:r>
        <w:rPr>
          <w:color w:val="432B15"/>
          <w:sz w:val="19"/>
        </w:rPr>
        <w:t>The bounding box uses 111 km per degree for both latitude and longitude. That is accurate for latitude everywhere, but for longitude it holds only near the equator: at 55° N a degree of longitude is roughly 64 km, so the requested box is about 1.7 times wider than the nominal radius. The effect is a query that over-fetches rather than under-fetches, which is the safe direction, but it should be corrected by scaling longitude by the cosine of latitude.</w:t>
      </w:r>
    </w:p>
    <w:p>
      <w:pPr>
        <w:pStyle w:val="Heading3"/>
      </w:pPr>
      <w:r>
        <w:t>3.1.8  Official source registries</w:t>
      </w:r>
    </w:p>
    <w:p>
      <w:r>
        <w:rPr>
          <w:i w:val="0"/>
        </w:rPr>
        <w:t>Two module-level constants hold curated links. The advisory list covers the Indian Ministry of External Affairs, NDMA SACHET, the India Meteorological Department, the US State Department, the UK Foreign Office and Australia's Smartraveller, and is attached to every aggregate response under the honest framing that no single reliable feed covers every country. The per-country alert map currently holds entries for India and Nepal and is consulted when no machine-readable feed exists for the country in question.</w:t>
      </w:r>
    </w:p>
    <w:p>
      <w:pPr>
        <w:pStyle w:val="Heading3"/>
      </w:pPr>
      <w:r>
        <w:t>3.1.9  The aggregate</w:t>
      </w:r>
    </w:p>
    <w:p>
      <w:r>
        <w:rPr>
          <w:rFonts w:ascii="Consolas" w:hAnsi="Consolas"/>
          <w:color w:val="8B2E4F"/>
          <w:sz w:val="19"/>
        </w:rPr>
        <w:t>intel(lat, lon, country_code=None)</w:t>
      </w:r>
      <w:r>
        <w:t xml:space="preserve"> is the function the front end actually calls. It runs weather, disasters and roads with per-section failure isolation; branches on country code to attach either live NWS alerts or a not-connected notice with national links; appends the advisory registry; and returns a single dictionary whose every section is self-describing. Its shape is the contract that both the web renderer and the MCP server in Section 5 depend on.</w:t>
      </w:r>
    </w:p>
    <w:p>
      <w:pPr>
        <w:pStyle w:val="Heading2"/>
      </w:pPr>
      <w:r>
        <w:t>3.2  static/js/live.js</w:t>
      </w:r>
    </w:p>
    <w:p>
      <w:r>
        <w:rPr>
          <w:i w:val="0"/>
        </w:rPr>
        <w:t>The renderer is a single immediately-invoked function expression, around ninety lines, with no framework. It depends on a shared TM namespace — presumably defined in common.js — for HTML escaping, loading and toast indicators, provenance badges, error boxes, local-storage access, geolocation and the tool-call helper. Every interpolated value passes through the escape helper, which is the correct discipline for a renderer that assembles HTML by string concatenation.</w:t>
      </w:r>
    </w:p>
    <w:p>
      <w:r>
        <w:rPr>
          <w:i w:val="0"/>
        </w:rPr>
        <w:t>Three entry points exist. A form submission resolves a place name and loads the first match. A “here” button uses geolocation. And a query string carrying lat, lon and optionally name allows another page — the map, most likely — to deep-link into the live view. If none applies, the view restores the last cached briefing and labels the place name with the time it was saved.</w:t>
      </w:r>
    </w:p>
    <w:p>
      <w:r>
        <w:rPr>
          <w:i w:val="0"/>
        </w:rPr>
        <w:t>The offline behaviour is the notable part. Each successful load writes the full aggregate, the resolved label and a timestamp to local storage. On failure, the view renders an error box and, if a cached briefing exists, re-renders it beneath a warning banner naming the capture time. The stale flag threaded through the render function preserves the error box above the restored content rather than replacing it, so the user sees both what failed and what is still known.</w:t>
      </w:r>
    </w:p>
    <w:p>
      <w:pPr>
        <w:spacing w:before="140" w:after="0" w:line="240" w:lineRule="auto"/>
        <w:ind w:left="198" w:right="113"/>
        <w:keepNext/>
        <w:shd w:val="clear" w:color="auto" w:fill="F6F7F9"/>
        <w:pBdr>
          <w:left w:val="single" w:sz="18" w:space="6" w:color="C7D2DE"/>
        </w:pBdr>
      </w:pPr>
      <w:r>
        <w:rPr>
          <w:rFonts w:ascii="Consolas" w:hAnsi="Consolas"/>
          <w:color w:val="1E293B"/>
          <w:sz w:val="17"/>
        </w:rPr>
        <w:t>catch (err)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const cached = TM.store.get("last_intel");</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out.innerHTML = TM.errorBox(err) + (cached</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 `&lt;div class="banner warn"&gt;Showing saved data from</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${new Date(cached.at).toLocaleString()} — it may be out of date.&lt;/div&gt;`</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if (cached) render(cached.d, true);</w:t>
      </w:r>
    </w:p>
    <w:p>
      <w:pPr>
        <w:spacing w:before="0" w:after="140" w:line="240" w:lineRule="auto"/>
        <w:ind w:left="198" w:right="113"/>
        <w:shd w:val="clear" w:color="auto" w:fill="F6F7F9"/>
        <w:pBdr>
          <w:left w:val="single" w:sz="18" w:space="6" w:color="C7D2DE"/>
        </w:pBdr>
      </w:pPr>
      <w:r>
        <w:rPr>
          <w:rFonts w:ascii="Consolas" w:hAnsi="Consolas"/>
          <w:color w:val="1E293B"/>
          <w:sz w:val="17"/>
        </w:rPr>
        <w:t>}</w:t>
      </w:r>
    </w:p>
    <w:p>
      <w:pPr>
        <w:spacing w:after="200"/>
        <w:ind w:left="198"/>
      </w:pPr>
      <w:r>
        <w:rPr>
          <w:i/>
          <w:color w:val="6B7280"/>
          <w:sz w:val="17"/>
        </w:rPr>
        <w:t>static/js/live.js — the failure path never leaves the user with a blank screen.</w:t>
      </w:r>
    </w:p>
    <w:p>
      <w:r>
        <w:rPr>
          <w:i w:val="0"/>
        </w:rPr>
        <w:t>Rendering is organised as one panel per provenance class: Right now, Next 7 days, Weather flags, Official alerts, Natural disasters nearby, Road closures, and Travel advisories. Each carries a badge and a provider attribution link, and each empty state is worded to distinguish nothing-found from nothing-known. Two sentences in the markup deserve to survive any refactor: “Forecasts are model predictions and can change — check again before you set out,” and the honest preface to the advisory list, “No single reliable feed covers every country.”</w:t>
      </w:r>
    </w:p>
    <w:p>
      <w:pPr>
        <w:pStyle w:val="Heading2"/>
      </w:pPr>
      <w:r>
        <w:t>3.3  static/js/sw.js</w:t>
      </w:r>
    </w:p>
    <w:p>
      <w:r>
        <w:rPr>
          <w:i w:val="0"/>
        </w:rPr>
        <w:t>The service worker's caching strategy is tabulated in Section 2.6. Three further details are worth recording. Installation uses Promise.allSettled over cache.add for every shell URL, so one unavailable asset — a CDN hiccup on the Leaflet stylesheet, say — does not abort the whole install; the worker then calls skipWaiting to activate immediately. Activation deletes every cache whose key neither equals the tile cache nor begins with the current version prefix, then claims open clients. And the message handler exposes two commands to the page, cache-tiles and cache-pages, the former throttled as described and reporting the number of tiles cached back to the sender.</w:t>
      </w:r>
    </w:p>
    <w:p>
      <w:r>
        <w:rPr>
          <w:i w:val="0"/>
        </w:rPr>
        <w:t>The network-first helper is worth noting for its final fallback: when both network and cache miss and no fallback URL is supplied, it synthesises a 503 response whose JSON body is {"error": "You're offline.", "kind": "network"} — a shape the front-end error box can render as a sentence rather than a stack trace.</w:t>
      </w:r>
    </w:p>
    <w:p>
      <w:pPr>
        <w:pStyle w:val="Heading2"/>
      </w:pPr>
      <w:r>
        <w:t>3.4  tests/test_providers.py</w:t>
      </w:r>
    </w:p>
    <w:p>
      <w:r>
        <w:rPr>
          <w:i w:val="0"/>
        </w:rPr>
        <w:t>The suite is small and well chosen. It tests resilience, not provider correctness, which is the right target: third-party APIs cannot be asserted against in unit tests, but the system's behaviour when they misbehave can be, and that behaviour is where the product's trustworthiness lives. Its own docstring states the theme: “Provider resilience: Overpass falls back across servers when one refuses or is busy.”</w:t>
      </w:r>
    </w:p>
    <w:tbl>
      <w:tblPr>
        <w:tblStyle w:val="TableGrid"/>
        <w:tblW w:type="auto" w:w="0"/>
        <w:jc w:val="left"/>
        <w:tblLayout w:type="fixed"/>
        <w:tblLook w:firstColumn="1" w:firstRow="1" w:lastColumn="0" w:lastRow="0" w:noHBand="0" w:noVBand="1" w:val="04A0"/>
      </w:tblPr>
      <w:tblGrid>
        <w:gridCol w:w="4706"/>
        <w:gridCol w:w="4706"/>
      </w:tblGrid>
      <w:tr>
        <w:trPr>
          <w:tblHeader/>
        </w:trPr>
        <w:tc>
          <w:tcPr>
            <w:tcW w:type="dxa" w:w="3175"/>
            <w:shd w:val="clear" w:color="auto" w:fill="14304A"/>
          </w:tcPr>
          <w:p>
            <w:pPr>
              <w:spacing w:before="60" w:after="60"/>
            </w:pPr>
            <w:r/>
            <w:r>
              <w:rPr>
                <w:b/>
                <w:color w:val="FFFFFF"/>
                <w:sz w:val="17"/>
              </w:rPr>
              <w:t>Test</w:t>
            </w:r>
          </w:p>
        </w:tc>
        <w:tc>
          <w:tcPr>
            <w:tcW w:type="dxa" w:w="6236"/>
            <w:shd w:val="clear" w:color="auto" w:fill="14304A"/>
          </w:tcPr>
          <w:p>
            <w:pPr>
              <w:spacing w:before="60" w:after="60"/>
            </w:pPr>
            <w:r/>
            <w:r>
              <w:rPr>
                <w:b/>
                <w:color w:val="FFFFFF"/>
                <w:sz w:val="17"/>
              </w:rPr>
              <w:t>Asserts</w:t>
            </w:r>
          </w:p>
        </w:tc>
      </w:tr>
      <w:tr>
        <w:trPr>
          <w:cantSplit/>
        </w:trPr>
        <w:tc>
          <w:tcPr>
            <w:tcW w:type="dxa" w:w="3175"/>
          </w:tcPr>
          <w:p>
            <w:pPr>
              <w:spacing w:before="50" w:after="50" w:line="259" w:lineRule="auto"/>
            </w:pPr>
            <w:r/>
            <w:r>
              <w:rPr>
                <w:rFonts w:ascii="Consolas" w:hAnsi="Consolas"/>
                <w:color w:val="8B2E4F"/>
                <w:sz w:val="16"/>
              </w:rPr>
              <w:t>test_overpass_falls_back_on_406</w:t>
            </w:r>
          </w:p>
        </w:tc>
        <w:tc>
          <w:tcPr>
            <w:tcW w:type="dxa" w:w="6236"/>
          </w:tcPr>
          <w:p>
            <w:pPr>
              <w:spacing w:before="50" w:after="50" w:line="259" w:lineRule="auto"/>
            </w:pPr>
            <w:r/>
            <w:r>
              <w:rPr>
                <w:sz w:val="17"/>
              </w:rPr>
              <w:t>A 406 from the primary Overpass mirror triggers a second attempt that succeeds; the working mirror is remembered and tried first on the next call</w:t>
            </w:r>
          </w:p>
        </w:tc>
      </w:tr>
      <w:tr>
        <w:trPr>
          <w:cantSplit/>
        </w:trPr>
        <w:tc>
          <w:tcPr>
            <w:tcW w:type="dxa" w:w="3175"/>
            <w:shd w:val="clear" w:color="auto" w:fill="F1F5F9"/>
          </w:tcPr>
          <w:p>
            <w:pPr>
              <w:spacing w:before="50" w:after="50" w:line="259" w:lineRule="auto"/>
            </w:pPr>
            <w:r/>
            <w:r>
              <w:rPr>
                <w:rFonts w:ascii="Consolas" w:hAnsi="Consolas"/>
                <w:color w:val="8B2E4F"/>
                <w:sz w:val="16"/>
              </w:rPr>
              <w:t>test_overpass_all_down_gives_friendly_error</w:t>
            </w:r>
          </w:p>
        </w:tc>
        <w:tc>
          <w:tcPr>
            <w:tcW w:type="dxa" w:w="6236"/>
            <w:shd w:val="clear" w:color="auto" w:fill="F1F5F9"/>
          </w:tcPr>
          <w:p>
            <w:pPr>
              <w:spacing w:before="50" w:after="50" w:line="259" w:lineRule="auto"/>
            </w:pPr>
            <w:r/>
            <w:r>
              <w:rPr>
                <w:sz w:val="17"/>
              </w:rPr>
              <w:t>With every mirror returning 504, the raised error matches “busy right now” — a human-readable message, not an HTTP code</w:t>
            </w:r>
          </w:p>
        </w:tc>
      </w:tr>
      <w:tr>
        <w:trPr>
          <w:cantSplit/>
        </w:trPr>
        <w:tc>
          <w:tcPr>
            <w:tcW w:type="dxa" w:w="3175"/>
          </w:tcPr>
          <w:p>
            <w:pPr>
              <w:spacing w:before="50" w:after="50" w:line="259" w:lineRule="auto"/>
            </w:pPr>
            <w:r/>
            <w:r>
              <w:rPr>
                <w:rFonts w:ascii="Consolas" w:hAnsi="Consolas"/>
                <w:color w:val="8B2E4F"/>
                <w:sz w:val="16"/>
              </w:rPr>
              <w:t>test_overpass_does_not_retry_bad_queries</w:t>
            </w:r>
          </w:p>
        </w:tc>
        <w:tc>
          <w:tcPr>
            <w:tcW w:type="dxa" w:w="6236"/>
          </w:tcPr>
          <w:p>
            <w:pPr>
              <w:spacing w:before="50" w:after="50" w:line="259" w:lineRule="auto"/>
            </w:pPr>
            <w:r/>
            <w:r>
              <w:rPr>
                <w:sz w:val="17"/>
              </w:rPr>
              <w:t>A 400 is treated as our bug, not their outage: exactly one call is made, with no retry across mirrors</w:t>
            </w:r>
          </w:p>
        </w:tc>
      </w:tr>
      <w:tr>
        <w:trPr>
          <w:cantSplit/>
        </w:trPr>
        <w:tc>
          <w:tcPr>
            <w:tcW w:type="dxa" w:w="3175"/>
            <w:shd w:val="clear" w:color="auto" w:fill="F1F5F9"/>
          </w:tcPr>
          <w:p>
            <w:pPr>
              <w:spacing w:before="50" w:after="50" w:line="259" w:lineRule="auto"/>
            </w:pPr>
            <w:r/>
            <w:r>
              <w:rPr>
                <w:rFonts w:ascii="Consolas" w:hAnsi="Consolas"/>
                <w:color w:val="8B2E4F"/>
                <w:sz w:val="16"/>
              </w:rPr>
              <w:t>test_gdacs_falls_back_to_search_and_dedupes</w:t>
            </w:r>
          </w:p>
        </w:tc>
        <w:tc>
          <w:tcPr>
            <w:tcW w:type="dxa" w:w="6236"/>
            <w:shd w:val="clear" w:color="auto" w:fill="F1F5F9"/>
          </w:tcPr>
          <w:p>
            <w:pPr>
              <w:spacing w:before="50" w:after="50" w:line="259" w:lineRule="auto"/>
            </w:pPr>
            <w:r/>
            <w:r>
              <w:rPr>
                <w:sz w:val="17"/>
              </w:rPr>
              <w:t>events4app failing with 400 leads to SEARCH; the point and polygon copies of one event collapse to a single entry; an event in Chile is excluded by radius; the event type code FL is expanded to “Flood”</w:t>
            </w:r>
          </w:p>
        </w:tc>
      </w:tr>
      <w:tr>
        <w:trPr>
          <w:cantSplit/>
        </w:trPr>
        <w:tc>
          <w:tcPr>
            <w:tcW w:type="dxa" w:w="3175"/>
          </w:tcPr>
          <w:p>
            <w:pPr>
              <w:spacing w:before="50" w:after="50" w:line="259" w:lineRule="auto"/>
            </w:pPr>
            <w:r/>
            <w:r>
              <w:rPr>
                <w:rFonts w:ascii="Consolas" w:hAnsi="Consolas"/>
                <w:color w:val="8B2E4F"/>
                <w:sz w:val="16"/>
              </w:rPr>
              <w:t>test_gdacs_down_gives_friendly_message</w:t>
            </w:r>
          </w:p>
        </w:tc>
        <w:tc>
          <w:tcPr>
            <w:tcW w:type="dxa" w:w="6236"/>
          </w:tcPr>
          <w:p>
            <w:pPr>
              <w:spacing w:before="50" w:after="50" w:line="259" w:lineRule="auto"/>
            </w:pPr>
            <w:r/>
            <w:r>
              <w:rPr>
                <w:sz w:val="17"/>
              </w:rPr>
              <w:t>With GDACS wholly unavailable, the aggregate still returns, records the failure under errors["disasters"] with the text “isn't responding”, and surfaces the SACHET link for an Indian location</w:t>
            </w:r>
          </w:p>
        </w:tc>
      </w:tr>
    </w:tbl>
    <w:p>
      <w:pPr>
        <w:spacing w:after="0"/>
      </w:pPr>
    </w:p>
    <w:p>
      <w:pPr>
        <w:spacing w:after="240"/>
      </w:pPr>
      <w:r>
        <w:rPr>
          <w:i/>
          <w:color w:val="6B7280"/>
          <w:sz w:val="17"/>
        </w:rPr>
        <w:t>Table 7 — Test inventory. Every case encodes a user-facing promise.</w:t>
      </w:r>
    </w:p>
    <w:p>
      <w:r>
        <w:rPr>
          <w:i w:val="0"/>
        </w:rPr>
        <w:t>The distinction drawn by the third test is subtle and valuable. A 406 or 504 from an Overpass mirror means that mirror is unwilling or overloaded, so another mirror is worth trying. A 400 means the query itself is malformed, so retrying it against four more public servers is both futile and rude. Encoding that distinction in a test protects it from being refactored away by someone adding a generic retry wrapper.</w:t>
      </w:r>
    </w:p>
    <w:p>
      <w:pPr>
        <w:pStyle w:val="Heading2"/>
      </w:pPr>
      <w:r>
        <w:t>3.5  Components referenced but not present</w:t>
      </w:r>
    </w:p>
    <w:p>
      <w:r>
        <w:rPr>
          <w:i w:val="0"/>
        </w:rPr>
        <w:t>The reviewed folder is a slice of a larger repository. The following components are referenced by the code that was read and can be reconstructed with reasonable confidence from their call sites, but were not available for review. They are listed here so that the reconstruction is auditable rather than invisible.</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trPr>
        <w:tc>
          <w:tcPr>
            <w:tcW w:type="dxa" w:w="1928"/>
            <w:shd w:val="clear" w:color="auto" w:fill="14304A"/>
          </w:tcPr>
          <w:p>
            <w:pPr>
              <w:spacing w:before="60" w:after="60"/>
            </w:pPr>
            <w:r/>
            <w:r>
              <w:rPr>
                <w:b/>
                <w:color w:val="FFFFFF"/>
                <w:sz w:val="17"/>
              </w:rPr>
              <w:t>Component</w:t>
            </w:r>
          </w:p>
        </w:tc>
        <w:tc>
          <w:tcPr>
            <w:tcW w:type="dxa" w:w="4649"/>
            <w:shd w:val="clear" w:color="auto" w:fill="14304A"/>
          </w:tcPr>
          <w:p>
            <w:pPr>
              <w:spacing w:before="60" w:after="60"/>
            </w:pPr>
            <w:r/>
            <w:r>
              <w:rPr>
                <w:b/>
                <w:color w:val="FFFFFF"/>
                <w:sz w:val="17"/>
              </w:rPr>
              <w:t>Reconstructed contract</w:t>
            </w:r>
          </w:p>
        </w:tc>
        <w:tc>
          <w:tcPr>
            <w:tcW w:type="dxa" w:w="2835"/>
            <w:shd w:val="clear" w:color="auto" w:fill="14304A"/>
          </w:tcPr>
          <w:p>
            <w:pPr>
              <w:spacing w:before="60" w:after="60"/>
            </w:pPr>
            <w:r/>
            <w:r>
              <w:rPr>
                <w:b/>
                <w:color w:val="FFFFFF"/>
                <w:sz w:val="17"/>
              </w:rPr>
              <w:t>Basis</w:t>
            </w:r>
          </w:p>
        </w:tc>
      </w:tr>
      <w:tr>
        <w:trPr>
          <w:cantSplit/>
        </w:trPr>
        <w:tc>
          <w:tcPr>
            <w:tcW w:type="dxa" w:w="1928"/>
          </w:tcPr>
          <w:p>
            <w:pPr>
              <w:spacing w:before="50" w:after="50" w:line="259" w:lineRule="auto"/>
            </w:pPr>
            <w:r/>
            <w:r>
              <w:rPr>
                <w:rFonts w:ascii="Consolas" w:hAnsi="Consolas"/>
                <w:color w:val="8B2E4F"/>
                <w:sz w:val="16"/>
              </w:rPr>
              <w:t>services/http.py</w:t>
            </w:r>
          </w:p>
        </w:tc>
        <w:tc>
          <w:tcPr>
            <w:tcW w:type="dxa" w:w="4649"/>
          </w:tcPr>
          <w:p>
            <w:pPr>
              <w:spacing w:before="50" w:after="50" w:line="259" w:lineRule="auto"/>
            </w:pPr>
            <w:r/>
            <w:r>
              <w:rPr>
                <w:sz w:val="17"/>
              </w:rPr>
              <w:t>fetch_json(url, params=None, method='GET', data=None, headers=None, ttl=0) returning parsed JSON and raising ProviderError(message, status) with a status attribute</w:t>
            </w:r>
          </w:p>
        </w:tc>
        <w:tc>
          <w:tcPr>
            <w:tcW w:type="dxa" w:w="2835"/>
          </w:tcPr>
          <w:p>
            <w:pPr>
              <w:spacing w:before="50" w:after="50" w:line="259" w:lineRule="auto"/>
            </w:pPr>
            <w:r/>
            <w:r>
              <w:rPr>
                <w:sz w:val="17"/>
              </w:rPr>
              <w:t>Imported by live_service; monkeypatched in tests with exactly this signature</w:t>
            </w:r>
          </w:p>
        </w:tc>
      </w:tr>
      <w:tr>
        <w:trPr>
          <w:cantSplit/>
        </w:trPr>
        <w:tc>
          <w:tcPr>
            <w:tcW w:type="dxa" w:w="1928"/>
            <w:shd w:val="clear" w:color="auto" w:fill="F1F5F9"/>
          </w:tcPr>
          <w:p>
            <w:pPr>
              <w:spacing w:before="50" w:after="50" w:line="259" w:lineRule="auto"/>
            </w:pPr>
            <w:r/>
            <w:r>
              <w:rPr>
                <w:rFonts w:ascii="Consolas" w:hAnsi="Consolas"/>
                <w:color w:val="8B2E4F"/>
                <w:sz w:val="16"/>
              </w:rPr>
              <w:t>services/geo_service.py</w:t>
            </w:r>
          </w:p>
        </w:tc>
        <w:tc>
          <w:tcPr>
            <w:tcW w:type="dxa" w:w="4649"/>
            <w:shd w:val="clear" w:color="auto" w:fill="F1F5F9"/>
          </w:tcPr>
          <w:p>
            <w:pPr>
              <w:spacing w:before="50" w:after="50" w:line="259" w:lineRule="auto"/>
            </w:pPr>
            <w:r/>
            <w:r>
              <w:rPr>
                <w:sz w:val="17"/>
              </w:rPr>
              <w:t>nearby(lat, lon, categories) over Overpass, with a mirror list, a module-level _working dict remembering the last good server, a Referer and Accept:*/* header, and no retry on 4xx query errors</w:t>
            </w:r>
          </w:p>
        </w:tc>
        <w:tc>
          <w:tcPr>
            <w:tcW w:type="dxa" w:w="2835"/>
            <w:shd w:val="clear" w:color="auto" w:fill="F1F5F9"/>
          </w:tcPr>
          <w:p>
            <w:pPr>
              <w:spacing w:before="50" w:after="50" w:line="259" w:lineRule="auto"/>
            </w:pPr>
            <w:r/>
            <w:r>
              <w:rPr>
                <w:sz w:val="17"/>
              </w:rPr>
              <w:t>Exercised directly by three tests</w:t>
            </w:r>
          </w:p>
        </w:tc>
      </w:tr>
      <w:tr>
        <w:trPr>
          <w:cantSplit/>
        </w:trPr>
        <w:tc>
          <w:tcPr>
            <w:tcW w:type="dxa" w:w="1928"/>
          </w:tcPr>
          <w:p>
            <w:pPr>
              <w:spacing w:before="50" w:after="50" w:line="259" w:lineRule="auto"/>
            </w:pPr>
            <w:r/>
            <w:r>
              <w:rPr>
                <w:sz w:val="17"/>
              </w:rPr>
              <w:t>Tool dispatch route</w:t>
            </w:r>
          </w:p>
        </w:tc>
        <w:tc>
          <w:tcPr>
            <w:tcW w:type="dxa" w:w="4649"/>
          </w:tcPr>
          <w:p>
            <w:pPr>
              <w:spacing w:before="50" w:after="50" w:line="259" w:lineRule="auto"/>
            </w:pPr>
            <w:r/>
            <w:r>
              <w:rPr>
                <w:sz w:val="17"/>
              </w:rPr>
              <w:t>A POST endpoint under /api/ that maps a tool name to a service function and returns JSON, with errors shaped as {error, kind}</w:t>
            </w:r>
          </w:p>
        </w:tc>
        <w:tc>
          <w:tcPr>
            <w:tcW w:type="dxa" w:w="2835"/>
          </w:tcPr>
          <w:p>
            <w:pPr>
              <w:spacing w:before="50" w:after="50" w:line="259" w:lineRule="auto"/>
            </w:pPr>
            <w:r/>
            <w:r>
              <w:rPr>
                <w:sz w:val="17"/>
              </w:rPr>
              <w:t>TM.tool call sites; the service worker's /api/ exclusion; the 503 body it synthesises</w:t>
            </w:r>
          </w:p>
        </w:tc>
      </w:tr>
      <w:tr>
        <w:trPr>
          <w:cantSplit/>
        </w:trPr>
        <w:tc>
          <w:tcPr>
            <w:tcW w:type="dxa" w:w="1928"/>
            <w:shd w:val="clear" w:color="auto" w:fill="F1F5F9"/>
          </w:tcPr>
          <w:p>
            <w:pPr>
              <w:spacing w:before="50" w:after="50" w:line="259" w:lineRule="auto"/>
            </w:pPr>
            <w:r/>
            <w:r>
              <w:rPr>
                <w:rFonts w:ascii="Consolas" w:hAnsi="Consolas"/>
                <w:color w:val="8B2E4F"/>
                <w:sz w:val="16"/>
              </w:rPr>
              <w:t>conftest.py</w:t>
            </w:r>
          </w:p>
        </w:tc>
        <w:tc>
          <w:tcPr>
            <w:tcW w:type="dxa" w:w="4649"/>
            <w:shd w:val="clear" w:color="auto" w:fill="F1F5F9"/>
          </w:tcPr>
          <w:p>
            <w:pPr>
              <w:spacing w:before="50" w:after="50" w:line="259" w:lineRule="auto"/>
            </w:pPr>
            <w:r/>
            <w:r>
              <w:rPr>
                <w:sz w:val="17"/>
              </w:rPr>
              <w:t>A pytest fixture named app providing a configured Flask application</w:t>
            </w:r>
          </w:p>
        </w:tc>
        <w:tc>
          <w:tcPr>
            <w:tcW w:type="dxa" w:w="2835"/>
            <w:shd w:val="clear" w:color="auto" w:fill="F1F5F9"/>
          </w:tcPr>
          <w:p>
            <w:pPr>
              <w:spacing w:before="50" w:after="50" w:line="259" w:lineRule="auto"/>
            </w:pPr>
            <w:r/>
            <w:r>
              <w:rPr>
                <w:sz w:val="17"/>
              </w:rPr>
              <w:t>Every test takes app as a parameter and two use app.app_context()</w:t>
            </w:r>
          </w:p>
        </w:tc>
      </w:tr>
      <w:tr>
        <w:trPr>
          <w:cantSplit/>
        </w:trPr>
        <w:tc>
          <w:tcPr>
            <w:tcW w:type="dxa" w:w="1928"/>
          </w:tcPr>
          <w:p>
            <w:pPr>
              <w:spacing w:before="50" w:after="50" w:line="259" w:lineRule="auto"/>
            </w:pPr>
            <w:r/>
            <w:r>
              <w:rPr>
                <w:sz w:val="17"/>
              </w:rPr>
              <w:t>Page templates and sibling scripts</w:t>
            </w:r>
          </w:p>
        </w:tc>
        <w:tc>
          <w:tcPr>
            <w:tcW w:type="dxa" w:w="4649"/>
          </w:tcPr>
          <w:p>
            <w:pPr>
              <w:spacing w:before="50" w:after="50" w:line="259" w:lineRule="auto"/>
            </w:pPr>
            <w:r/>
            <w:r>
              <w:rPr>
                <w:sz w:val="17"/>
              </w:rPr>
              <w:t>Pages for home, offline, safety, map and plan; scripts for SOS, media capture, safety, offline management, map, planning, itinerary and explore</w:t>
            </w:r>
          </w:p>
        </w:tc>
        <w:tc>
          <w:tcPr>
            <w:tcW w:type="dxa" w:w="2835"/>
          </w:tcPr>
          <w:p>
            <w:pPr>
              <w:spacing w:before="50" w:after="50" w:line="259" w:lineRule="auto"/>
            </w:pPr>
            <w:r/>
            <w:r>
              <w:rPr>
                <w:sz w:val="17"/>
              </w:rPr>
              <w:t>Enumerated in the service worker's SHELL_URLS</w:t>
            </w:r>
          </w:p>
        </w:tc>
      </w:tr>
    </w:tbl>
    <w:p>
      <w:pPr>
        <w:spacing w:after="0"/>
      </w:pPr>
    </w:p>
    <w:p>
      <w:pPr>
        <w:spacing w:after="240"/>
      </w:pPr>
      <w:r>
        <w:rPr>
          <w:i/>
          <w:color w:val="6B7280"/>
          <w:sz w:val="17"/>
        </w:rPr>
        <w:t>Table 8 — Inferred components. Verify against the full repository before relying on these contracts.</w:t>
      </w:r>
    </w:p>
    <w:p>
      <w:r>
        <w:br w:type="page"/>
      </w:r>
    </w:p>
    <w:p>
      <w:pPr>
        <w:pStyle w:val="Heading1"/>
        <w:pBdr>
          <w:bottom w:val="single" w:sz="8" w:space="6" w:color="C7D2DE"/>
        </w:pBdr>
      </w:pPr>
      <w:r>
        <w:t>4  Configuration and operations</w:t>
      </w:r>
    </w:p>
    <w:p>
      <w:pPr>
        <w:pStyle w:val="Heading2"/>
      </w:pPr>
      <w:r>
        <w:t>4.1  Configuration keys</w:t>
      </w:r>
    </w:p>
    <w:p>
      <w:r>
        <w:rPr>
          <w:i w:val="0"/>
        </w:rPr>
        <w:t>The reviewed code reads exactly one configuration value, and reads it lazily at the point of use rather than at import time, which is what allows the application to start without it. The MCP server adds three of its own.</w:t>
      </w:r>
    </w:p>
    <w:tbl>
      <w:tblPr>
        <w:tblStyle w:val="TableGrid"/>
        <w:tblW w:type="auto" w:w="0"/>
        <w:jc w:val="left"/>
        <w:tblLayout w:type="fixed"/>
        <w:tblLook w:firstColumn="1" w:firstRow="1" w:lastColumn="0" w:lastRow="0" w:noHBand="0" w:noVBand="1" w:val="04A0"/>
      </w:tblPr>
      <w:tblGrid>
        <w:gridCol w:w="2353"/>
        <w:gridCol w:w="2353"/>
        <w:gridCol w:w="2353"/>
        <w:gridCol w:w="2353"/>
      </w:tblGrid>
      <w:tr>
        <w:trPr>
          <w:tblHeader/>
        </w:trPr>
        <w:tc>
          <w:tcPr>
            <w:tcW w:type="dxa" w:w="2211"/>
            <w:shd w:val="clear" w:color="auto" w:fill="14304A"/>
          </w:tcPr>
          <w:p>
            <w:pPr>
              <w:spacing w:before="60" w:after="60"/>
            </w:pPr>
            <w:r/>
            <w:r>
              <w:rPr>
                <w:b/>
                <w:color w:val="FFFFFF"/>
                <w:sz w:val="17"/>
              </w:rPr>
              <w:t>Key</w:t>
            </w:r>
          </w:p>
        </w:tc>
        <w:tc>
          <w:tcPr>
            <w:tcW w:type="dxa" w:w="2438"/>
            <w:shd w:val="clear" w:color="auto" w:fill="14304A"/>
          </w:tcPr>
          <w:p>
            <w:pPr>
              <w:spacing w:before="60" w:after="60"/>
            </w:pPr>
            <w:r/>
            <w:r>
              <w:rPr>
                <w:b/>
                <w:color w:val="FFFFFF"/>
                <w:sz w:val="17"/>
              </w:rPr>
              <w:t>Consumer</w:t>
            </w:r>
          </w:p>
        </w:tc>
        <w:tc>
          <w:tcPr>
            <w:tcW w:type="dxa" w:w="1361"/>
            <w:shd w:val="clear" w:color="auto" w:fill="14304A"/>
          </w:tcPr>
          <w:p>
            <w:pPr>
              <w:spacing w:before="60" w:after="60"/>
            </w:pPr>
            <w:r/>
            <w:r>
              <w:rPr>
                <w:b/>
                <w:color w:val="FFFFFF"/>
                <w:sz w:val="17"/>
              </w:rPr>
              <w:t>Required</w:t>
            </w:r>
          </w:p>
        </w:tc>
        <w:tc>
          <w:tcPr>
            <w:tcW w:type="dxa" w:w="3402"/>
            <w:shd w:val="clear" w:color="auto" w:fill="14304A"/>
          </w:tcPr>
          <w:p>
            <w:pPr>
              <w:spacing w:before="60" w:after="60"/>
            </w:pPr>
            <w:r/>
            <w:r>
              <w:rPr>
                <w:b/>
                <w:color w:val="FFFFFF"/>
                <w:sz w:val="17"/>
              </w:rPr>
              <w:t>Effect when absent</w:t>
            </w:r>
          </w:p>
        </w:tc>
      </w:tr>
      <w:tr>
        <w:trPr>
          <w:cantSplit/>
        </w:trPr>
        <w:tc>
          <w:tcPr>
            <w:tcW w:type="dxa" w:w="2211"/>
          </w:tcPr>
          <w:p>
            <w:pPr>
              <w:spacing w:before="50" w:after="50" w:line="259" w:lineRule="auto"/>
            </w:pPr>
            <w:r/>
            <w:r>
              <w:rPr>
                <w:rFonts w:ascii="Consolas" w:hAnsi="Consolas"/>
                <w:color w:val="8B2E4F"/>
                <w:sz w:val="16"/>
              </w:rPr>
              <w:t>TOMTOM_API_KEY</w:t>
            </w:r>
          </w:p>
        </w:tc>
        <w:tc>
          <w:tcPr>
            <w:tcW w:type="dxa" w:w="2438"/>
          </w:tcPr>
          <w:p>
            <w:pPr>
              <w:spacing w:before="50" w:after="50" w:line="259" w:lineRule="auto"/>
            </w:pPr>
            <w:r/>
            <w:r>
              <w:rPr>
                <w:sz w:val="17"/>
              </w:rPr>
              <w:t>live_service.road_incidents</w:t>
            </w:r>
          </w:p>
        </w:tc>
        <w:tc>
          <w:tcPr>
            <w:tcW w:type="dxa" w:w="1361"/>
          </w:tcPr>
          <w:p>
            <w:pPr>
              <w:spacing w:before="50" w:after="50" w:line="259" w:lineRule="auto"/>
            </w:pPr>
            <w:r/>
            <w:r>
              <w:rPr>
                <w:sz w:val="17"/>
              </w:rPr>
              <w:t>No</w:t>
            </w:r>
          </w:p>
        </w:tc>
        <w:tc>
          <w:tcPr>
            <w:tcW w:type="dxa" w:w="3402"/>
          </w:tcPr>
          <w:p>
            <w:pPr>
              <w:spacing w:before="50" w:after="50" w:line="259" w:lineRule="auto"/>
            </w:pPr>
            <w:r/>
            <w:r>
              <w:rPr>
                <w:sz w:val="17"/>
              </w:rPr>
              <w:t>Road panel returns configured:false with guidance to check local authorities</w:t>
            </w:r>
          </w:p>
        </w:tc>
      </w:tr>
      <w:tr>
        <w:trPr>
          <w:cantSplit/>
        </w:trPr>
        <w:tc>
          <w:tcPr>
            <w:tcW w:type="dxa" w:w="2211"/>
            <w:shd w:val="clear" w:color="auto" w:fill="F1F5F9"/>
          </w:tcPr>
          <w:p>
            <w:pPr>
              <w:spacing w:before="50" w:after="50" w:line="259" w:lineRule="auto"/>
            </w:pPr>
            <w:r/>
            <w:r>
              <w:rPr>
                <w:rFonts w:ascii="Consolas" w:hAnsi="Consolas"/>
                <w:color w:val="8B2E4F"/>
                <w:sz w:val="16"/>
              </w:rPr>
              <w:t>HEYBRO_USER_AGENT</w:t>
            </w:r>
          </w:p>
        </w:tc>
        <w:tc>
          <w:tcPr>
            <w:tcW w:type="dxa" w:w="2438"/>
            <w:shd w:val="clear" w:color="auto" w:fill="F1F5F9"/>
          </w:tcPr>
          <w:p>
            <w:pPr>
              <w:spacing w:before="50" w:after="50" w:line="259" w:lineRule="auto"/>
            </w:pPr>
            <w:r/>
            <w:r>
              <w:rPr>
                <w:sz w:val="17"/>
              </w:rPr>
              <w:t>MCP server HTTP layer</w:t>
            </w:r>
          </w:p>
        </w:tc>
        <w:tc>
          <w:tcPr>
            <w:tcW w:type="dxa" w:w="1361"/>
            <w:shd w:val="clear" w:color="auto" w:fill="F1F5F9"/>
          </w:tcPr>
          <w:p>
            <w:pPr>
              <w:spacing w:before="50" w:after="50" w:line="259" w:lineRule="auto"/>
            </w:pPr>
            <w:r/>
            <w:r>
              <w:rPr>
                <w:sz w:val="17"/>
              </w:rPr>
              <w:t>Strongly recommended</w:t>
            </w:r>
          </w:p>
        </w:tc>
        <w:tc>
          <w:tcPr>
            <w:tcW w:type="dxa" w:w="3402"/>
            <w:shd w:val="clear" w:color="auto" w:fill="F1F5F9"/>
          </w:tcPr>
          <w:p>
            <w:pPr>
              <w:spacing w:before="50" w:after="50" w:line="259" w:lineRule="auto"/>
            </w:pPr>
            <w:r/>
            <w:r>
              <w:rPr>
                <w:sz w:val="17"/>
              </w:rPr>
              <w:t>A default string is sent; Nominatim and Overpass may rate-limit or refuse anonymous traffic</w:t>
            </w:r>
          </w:p>
        </w:tc>
      </w:tr>
      <w:tr>
        <w:trPr>
          <w:cantSplit/>
        </w:trPr>
        <w:tc>
          <w:tcPr>
            <w:tcW w:type="dxa" w:w="2211"/>
          </w:tcPr>
          <w:p>
            <w:pPr>
              <w:spacing w:before="50" w:after="50" w:line="259" w:lineRule="auto"/>
            </w:pPr>
            <w:r/>
            <w:r>
              <w:rPr>
                <w:rFonts w:ascii="Consolas" w:hAnsi="Consolas"/>
                <w:color w:val="8B2E4F"/>
                <w:sz w:val="16"/>
              </w:rPr>
              <w:t>HEYBRO_HTTP_TIMEOUT</w:t>
            </w:r>
          </w:p>
        </w:tc>
        <w:tc>
          <w:tcPr>
            <w:tcW w:type="dxa" w:w="2438"/>
          </w:tcPr>
          <w:p>
            <w:pPr>
              <w:spacing w:before="50" w:after="50" w:line="259" w:lineRule="auto"/>
            </w:pPr>
            <w:r/>
            <w:r>
              <w:rPr>
                <w:sz w:val="17"/>
              </w:rPr>
              <w:t>MCP server HTTP layer</w:t>
            </w:r>
          </w:p>
        </w:tc>
        <w:tc>
          <w:tcPr>
            <w:tcW w:type="dxa" w:w="1361"/>
          </w:tcPr>
          <w:p>
            <w:pPr>
              <w:spacing w:before="50" w:after="50" w:line="259" w:lineRule="auto"/>
            </w:pPr>
            <w:r/>
            <w:r>
              <w:rPr>
                <w:sz w:val="17"/>
              </w:rPr>
              <w:t>No</w:t>
            </w:r>
          </w:p>
        </w:tc>
        <w:tc>
          <w:tcPr>
            <w:tcW w:type="dxa" w:w="3402"/>
          </w:tcPr>
          <w:p>
            <w:pPr>
              <w:spacing w:before="50" w:after="50" w:line="259" w:lineRule="auto"/>
            </w:pPr>
            <w:r/>
            <w:r>
              <w:rPr>
                <w:sz w:val="17"/>
              </w:rPr>
              <w:t>Defaults to 20 seconds</w:t>
            </w:r>
          </w:p>
        </w:tc>
      </w:tr>
      <w:tr>
        <w:trPr>
          <w:cantSplit/>
        </w:trPr>
        <w:tc>
          <w:tcPr>
            <w:tcW w:type="dxa" w:w="2211"/>
            <w:shd w:val="clear" w:color="auto" w:fill="F1F5F9"/>
          </w:tcPr>
          <w:p>
            <w:pPr>
              <w:spacing w:before="50" w:after="50" w:line="259" w:lineRule="auto"/>
            </w:pPr>
            <w:r/>
            <w:r>
              <w:rPr>
                <w:rFonts w:ascii="Consolas" w:hAnsi="Consolas"/>
                <w:color w:val="8B2E4F"/>
                <w:sz w:val="16"/>
              </w:rPr>
              <w:t>HEYBRO_MCP_TRANSPORT</w:t>
            </w:r>
          </w:p>
        </w:tc>
        <w:tc>
          <w:tcPr>
            <w:tcW w:type="dxa" w:w="2438"/>
            <w:shd w:val="clear" w:color="auto" w:fill="F1F5F9"/>
          </w:tcPr>
          <w:p>
            <w:pPr>
              <w:spacing w:before="50" w:after="50" w:line="259" w:lineRule="auto"/>
            </w:pPr>
            <w:r/>
            <w:r>
              <w:rPr>
                <w:sz w:val="17"/>
              </w:rPr>
              <w:t>MCP server entry point</w:t>
            </w:r>
          </w:p>
        </w:tc>
        <w:tc>
          <w:tcPr>
            <w:tcW w:type="dxa" w:w="1361"/>
            <w:shd w:val="clear" w:color="auto" w:fill="F1F5F9"/>
          </w:tcPr>
          <w:p>
            <w:pPr>
              <w:spacing w:before="50" w:after="50" w:line="259" w:lineRule="auto"/>
            </w:pPr>
            <w:r/>
            <w:r>
              <w:rPr>
                <w:sz w:val="17"/>
              </w:rPr>
              <w:t>No</w:t>
            </w:r>
          </w:p>
        </w:tc>
        <w:tc>
          <w:tcPr>
            <w:tcW w:type="dxa" w:w="3402"/>
            <w:shd w:val="clear" w:color="auto" w:fill="F1F5F9"/>
          </w:tcPr>
          <w:p>
            <w:pPr>
              <w:spacing w:before="50" w:after="50" w:line="259" w:lineRule="auto"/>
            </w:pPr>
            <w:r/>
            <w:r>
              <w:rPr>
                <w:sz w:val="17"/>
              </w:rPr>
              <w:t>Defaults to stdio</w:t>
            </w:r>
          </w:p>
        </w:tc>
      </w:tr>
    </w:tbl>
    <w:p>
      <w:pPr>
        <w:spacing w:after="0"/>
      </w:pPr>
    </w:p>
    <w:p>
      <w:pPr>
        <w:spacing w:after="240"/>
      </w:pPr>
      <w:r>
        <w:rPr>
          <w:i/>
          <w:color w:val="6B7280"/>
          <w:sz w:val="17"/>
        </w:rPr>
        <w:t>Table 9 — Configuration surface.</w:t>
      </w:r>
    </w:p>
    <w:p>
      <w:pPr>
        <w:pStyle w:val="Heading2"/>
      </w:pPr>
      <w:r>
        <w:t>4.2  Cache policy</w:t>
      </w:r>
    </w:p>
    <w:p>
      <w:r>
        <w:rPr>
          <w:i w:val="0"/>
        </w:rPr>
        <w:t>Time-to-live values are passed per call into fetch_json and are chosen to match how fast each kind of truth changes. They are also the system's main defence against exhausting the goodwill of free providers.</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trPr>
        <w:tc>
          <w:tcPr>
            <w:tcW w:type="dxa" w:w="2494"/>
            <w:shd w:val="clear" w:color="auto" w:fill="14304A"/>
          </w:tcPr>
          <w:p>
            <w:pPr>
              <w:spacing w:before="60" w:after="60"/>
            </w:pPr>
            <w:r/>
            <w:r>
              <w:rPr>
                <w:b/>
                <w:color w:val="FFFFFF"/>
                <w:sz w:val="17"/>
              </w:rPr>
              <w:t>Data</w:t>
            </w:r>
          </w:p>
        </w:tc>
        <w:tc>
          <w:tcPr>
            <w:tcW w:type="dxa" w:w="1814"/>
            <w:shd w:val="clear" w:color="auto" w:fill="14304A"/>
          </w:tcPr>
          <w:p>
            <w:pPr>
              <w:spacing w:before="60" w:after="60"/>
            </w:pPr>
            <w:r/>
            <w:r>
              <w:rPr>
                <w:b/>
                <w:color w:val="FFFFFF"/>
                <w:sz w:val="17"/>
              </w:rPr>
              <w:t>TTL</w:t>
            </w:r>
          </w:p>
        </w:tc>
        <w:tc>
          <w:tcPr>
            <w:tcW w:type="dxa" w:w="5102"/>
            <w:shd w:val="clear" w:color="auto" w:fill="14304A"/>
          </w:tcPr>
          <w:p>
            <w:pPr>
              <w:spacing w:before="60" w:after="60"/>
            </w:pPr>
            <w:r/>
            <w:r>
              <w:rPr>
                <w:b/>
                <w:color w:val="FFFFFF"/>
                <w:sz w:val="17"/>
              </w:rPr>
              <w:t>Rationale</w:t>
            </w:r>
          </w:p>
        </w:tc>
      </w:tr>
      <w:tr>
        <w:trPr>
          <w:cantSplit/>
        </w:trPr>
        <w:tc>
          <w:tcPr>
            <w:tcW w:type="dxa" w:w="2494"/>
          </w:tcPr>
          <w:p>
            <w:pPr>
              <w:spacing w:before="50" w:after="50" w:line="259" w:lineRule="auto"/>
            </w:pPr>
            <w:r/>
            <w:r>
              <w:rPr>
                <w:sz w:val="17"/>
              </w:rPr>
              <w:t>Geocoding, elevation</w:t>
            </w:r>
          </w:p>
        </w:tc>
        <w:tc>
          <w:tcPr>
            <w:tcW w:type="dxa" w:w="1814"/>
          </w:tcPr>
          <w:p>
            <w:pPr>
              <w:spacing w:before="50" w:after="50" w:line="259" w:lineRule="auto"/>
            </w:pPr>
            <w:r/>
            <w:r>
              <w:rPr>
                <w:sz w:val="17"/>
              </w:rPr>
              <w:t>86 400 s (24 h)</w:t>
            </w:r>
          </w:p>
        </w:tc>
        <w:tc>
          <w:tcPr>
            <w:tcW w:type="dxa" w:w="5102"/>
          </w:tcPr>
          <w:p>
            <w:pPr>
              <w:spacing w:before="50" w:after="50" w:line="259" w:lineRule="auto"/>
            </w:pPr>
            <w:r/>
            <w:r>
              <w:rPr>
                <w:sz w:val="17"/>
              </w:rPr>
              <w:t>Place coordinates and ground height do not change</w:t>
            </w:r>
          </w:p>
        </w:tc>
      </w:tr>
      <w:tr>
        <w:trPr>
          <w:cantSplit/>
        </w:trPr>
        <w:tc>
          <w:tcPr>
            <w:tcW w:type="dxa" w:w="2494"/>
            <w:shd w:val="clear" w:color="auto" w:fill="F1F5F9"/>
          </w:tcPr>
          <w:p>
            <w:pPr>
              <w:spacing w:before="50" w:after="50" w:line="259" w:lineRule="auto"/>
            </w:pPr>
            <w:r/>
            <w:r>
              <w:rPr>
                <w:sz w:val="17"/>
              </w:rPr>
              <w:t>Current weather and forecast</w:t>
            </w:r>
          </w:p>
        </w:tc>
        <w:tc>
          <w:tcPr>
            <w:tcW w:type="dxa" w:w="1814"/>
            <w:shd w:val="clear" w:color="auto" w:fill="F1F5F9"/>
          </w:tcPr>
          <w:p>
            <w:pPr>
              <w:spacing w:before="50" w:after="50" w:line="259" w:lineRule="auto"/>
            </w:pPr>
            <w:r/>
            <w:r>
              <w:rPr>
                <w:sz w:val="17"/>
              </w:rPr>
              <w:t>600 s (10 min)</w:t>
            </w:r>
          </w:p>
        </w:tc>
        <w:tc>
          <w:tcPr>
            <w:tcW w:type="dxa" w:w="5102"/>
            <w:shd w:val="clear" w:color="auto" w:fill="F1F5F9"/>
          </w:tcPr>
          <w:p>
            <w:pPr>
              <w:spacing w:before="50" w:after="50" w:line="259" w:lineRule="auto"/>
            </w:pPr>
            <w:r/>
            <w:r>
              <w:rPr>
                <w:sz w:val="17"/>
              </w:rPr>
              <w:t>Matches roughly the update cadence of the underlying model</w:t>
            </w:r>
          </w:p>
        </w:tc>
      </w:tr>
      <w:tr>
        <w:trPr>
          <w:cantSplit/>
        </w:trPr>
        <w:tc>
          <w:tcPr>
            <w:tcW w:type="dxa" w:w="2494"/>
          </w:tcPr>
          <w:p>
            <w:pPr>
              <w:spacing w:before="50" w:after="50" w:line="259" w:lineRule="auto"/>
            </w:pPr>
            <w:r/>
            <w:r>
              <w:rPr>
                <w:sz w:val="17"/>
              </w:rPr>
              <w:t>GDACS events</w:t>
            </w:r>
          </w:p>
        </w:tc>
        <w:tc>
          <w:tcPr>
            <w:tcW w:type="dxa" w:w="1814"/>
          </w:tcPr>
          <w:p>
            <w:pPr>
              <w:spacing w:before="50" w:after="50" w:line="259" w:lineRule="auto"/>
            </w:pPr>
            <w:r/>
            <w:r>
              <w:rPr>
                <w:sz w:val="17"/>
              </w:rPr>
              <w:t>900 s (15 min)</w:t>
            </w:r>
          </w:p>
        </w:tc>
        <w:tc>
          <w:tcPr>
            <w:tcW w:type="dxa" w:w="5102"/>
          </w:tcPr>
          <w:p>
            <w:pPr>
              <w:spacing w:before="50" w:after="50" w:line="259" w:lineRule="auto"/>
            </w:pPr>
            <w:r/>
            <w:r>
              <w:rPr>
                <w:sz w:val="17"/>
              </w:rPr>
              <w:t>Event lists change on the order of hours, not seconds</w:t>
            </w:r>
          </w:p>
        </w:tc>
      </w:tr>
      <w:tr>
        <w:trPr>
          <w:cantSplit/>
        </w:trPr>
        <w:tc>
          <w:tcPr>
            <w:tcW w:type="dxa" w:w="2494"/>
            <w:shd w:val="clear" w:color="auto" w:fill="F1F5F9"/>
          </w:tcPr>
          <w:p>
            <w:pPr>
              <w:spacing w:before="50" w:after="50" w:line="259" w:lineRule="auto"/>
            </w:pPr>
            <w:r/>
            <w:r>
              <w:rPr>
                <w:sz w:val="17"/>
              </w:rPr>
              <w:t>NWS alerts</w:t>
            </w:r>
          </w:p>
        </w:tc>
        <w:tc>
          <w:tcPr>
            <w:tcW w:type="dxa" w:w="1814"/>
            <w:shd w:val="clear" w:color="auto" w:fill="F1F5F9"/>
          </w:tcPr>
          <w:p>
            <w:pPr>
              <w:spacing w:before="50" w:after="50" w:line="259" w:lineRule="auto"/>
            </w:pPr>
            <w:r/>
            <w:r>
              <w:rPr>
                <w:sz w:val="17"/>
              </w:rPr>
              <w:t>300 s (5 min)</w:t>
            </w:r>
          </w:p>
        </w:tc>
        <w:tc>
          <w:tcPr>
            <w:tcW w:type="dxa" w:w="5102"/>
            <w:shd w:val="clear" w:color="auto" w:fill="F1F5F9"/>
          </w:tcPr>
          <w:p>
            <w:pPr>
              <w:spacing w:before="50" w:after="50" w:line="259" w:lineRule="auto"/>
            </w:pPr>
            <w:r/>
            <w:r>
              <w:rPr>
                <w:sz w:val="17"/>
              </w:rPr>
              <w:t>Warnings are issued and cancelled quickly; freshness matters</w:t>
            </w:r>
          </w:p>
        </w:tc>
      </w:tr>
      <w:tr>
        <w:trPr>
          <w:cantSplit/>
        </w:trPr>
        <w:tc>
          <w:tcPr>
            <w:tcW w:type="dxa" w:w="2494"/>
          </w:tcPr>
          <w:p>
            <w:pPr>
              <w:spacing w:before="50" w:after="50" w:line="259" w:lineRule="auto"/>
            </w:pPr>
            <w:r/>
            <w:r>
              <w:rPr>
                <w:sz w:val="17"/>
              </w:rPr>
              <w:t>TomTom incidents</w:t>
            </w:r>
          </w:p>
        </w:tc>
        <w:tc>
          <w:tcPr>
            <w:tcW w:type="dxa" w:w="1814"/>
          </w:tcPr>
          <w:p>
            <w:pPr>
              <w:spacing w:before="50" w:after="50" w:line="259" w:lineRule="auto"/>
            </w:pPr>
            <w:r/>
            <w:r>
              <w:rPr>
                <w:sz w:val="17"/>
              </w:rPr>
              <w:t>300 s (5 min)</w:t>
            </w:r>
          </w:p>
        </w:tc>
        <w:tc>
          <w:tcPr>
            <w:tcW w:type="dxa" w:w="5102"/>
          </w:tcPr>
          <w:p>
            <w:pPr>
              <w:spacing w:before="50" w:after="50" w:line="259" w:lineRule="auto"/>
            </w:pPr>
            <w:r/>
            <w:r>
              <w:rPr>
                <w:sz w:val="17"/>
              </w:rPr>
              <w:t>Traffic is volatile but the quota is finite</w:t>
            </w:r>
          </w:p>
        </w:tc>
      </w:tr>
    </w:tbl>
    <w:p>
      <w:pPr>
        <w:spacing w:after="0"/>
      </w:pPr>
    </w:p>
    <w:p>
      <w:pPr>
        <w:spacing w:after="240"/>
      </w:pPr>
      <w:r>
        <w:rPr>
          <w:i/>
          <w:color w:val="6B7280"/>
          <w:sz w:val="17"/>
        </w:rPr>
        <w:t>Table 10 — Cache time-to-live values as set in the code.</w:t>
      </w:r>
    </w:p>
    <w:p>
      <w:pPr>
        <w:pStyle w:val="Heading2"/>
      </w:pPr>
      <w:r>
        <w:t>4.3  Provider etiquette</w:t>
      </w:r>
    </w:p>
    <w:p>
      <w:r>
        <w:rPr>
          <w:i w:val="0"/>
        </w:rPr>
        <w:t>Three obligations are visible in the code and must be preserved. Tile pre-caching is throttled and capped to comply with the OpenStreetMap tile usage policy, which prohibits bulk downloading. Overpass queries rotate across mirrors but are not retried when the query itself is at fault, which avoids hammering volunteer-run infrastructure with a request that cannot succeed. And provider attribution is carried through the payload to the rendered panel, so Open-Meteo and GDACS are credited in the interface rather than only in a licence file. The MCP server adds a fourth: a configurable User-Agent identifying the deployment, which is a hard requirement of the Nominatim usage policy and good practice everywhere else.</w:t>
      </w:r>
    </w:p>
    <w:p>
      <w:pPr>
        <w:pStyle w:val="Heading2"/>
      </w:pPr>
      <w:r>
        <w:t>4.4  Running the test suite</w:t>
      </w:r>
    </w:p>
    <w:p>
      <w:pPr>
        <w:spacing w:before="140" w:after="0" w:line="240" w:lineRule="auto"/>
        <w:ind w:left="198" w:right="113"/>
        <w:keepNext/>
        <w:shd w:val="clear" w:color="auto" w:fill="F6F7F9"/>
        <w:pBdr>
          <w:left w:val="single" w:sz="18" w:space="6" w:color="C7D2DE"/>
        </w:pBdr>
      </w:pPr>
      <w:r>
        <w:rPr>
          <w:rFonts w:ascii="Consolas" w:hAnsi="Consolas"/>
          <w:color w:val="1E293B"/>
          <w:sz w:val="17"/>
        </w:rPr>
        <w:t>python -m pytest tests/ -v</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the suite needs an `app` fixture from conftest.py and the services package;</w:t>
      </w:r>
    </w:p>
    <w:p>
      <w:pPr>
        <w:spacing w:before="0" w:after="140" w:line="240" w:lineRule="auto"/>
        <w:ind w:left="198" w:right="113"/>
        <w:shd w:val="clear" w:color="auto" w:fill="F6F7F9"/>
        <w:pBdr>
          <w:left w:val="single" w:sz="18" w:space="6" w:color="C7D2DE"/>
        </w:pBdr>
      </w:pPr>
      <w:r>
        <w:rPr>
          <w:rFonts w:ascii="Consolas" w:hAnsi="Consolas"/>
          <w:color w:val="1E293B"/>
          <w:sz w:val="17"/>
        </w:rPr>
        <w:t># it monkeypatches fetch_json, so no network access is required or performed</w:t>
      </w:r>
    </w:p>
    <w:p>
      <w:pPr>
        <w:spacing w:after="200"/>
        <w:ind w:left="198"/>
      </w:pPr>
      <w:r>
        <w:rPr>
          <w:i/>
          <w:color w:val="6B7280"/>
          <w:sz w:val="17"/>
        </w:rPr>
        <w:t>The provider tests are hermetic by construction.</w:t>
      </w:r>
    </w:p>
    <w:p>
      <w:r>
        <w:br w:type="page"/>
      </w:r>
    </w:p>
    <w:p>
      <w:pPr>
        <w:pStyle w:val="Heading1"/>
        <w:pBdr>
          <w:bottom w:val="single" w:sz="8" w:space="6" w:color="C7D2DE"/>
        </w:pBdr>
      </w:pPr>
      <w:r>
        <w:t>5  Exposing heyBro through the Model Context Protocol</w:t>
      </w:r>
    </w:p>
    <w:p>
      <w:pPr>
        <w:pStyle w:val="Heading2"/>
      </w:pPr>
      <w:r>
        <w:t>5.1  Why this codebase is already MCP-shaped</w:t>
      </w:r>
    </w:p>
    <w:p>
      <w:r>
        <w:rPr>
          <w:i w:val="0"/>
        </w:rPr>
        <w:t>The Model Context Protocol is an open standard for connecting language models to external capabilities. A server offers three kinds of thing: tools, which the model may call with structured arguments; resources, which the model may read as context; and prompts, which are reusable templates a user can invoke. Transport is JSON-RPC over either standard input and output, for a locally launched process, or HTTP with server-sent events, for a remote deployment.</w:t>
      </w:r>
    </w:p>
    <w:p>
      <w:r>
        <w:rPr>
          <w:i w:val="0"/>
        </w:rPr>
        <w:t>heyBro's front end already speaks in named tools with JSON arguments, as Section 2.2 showed, and its service functions already return self-describing dictionaries with provenance labels, attribution links and fetch timestamps. That is an unusually good fit, and for a reason worth stating: the properties that make a payload safe for a human reader — explicit provenance, explicit absence, explicit uncertainty — are the same properties that stop a language model from inventing authority it was not given. The labelling discipline was not designed for models, but it is exactly what models need.</w:t>
      </w:r>
    </w:p>
    <w:p>
      <w:r>
        <w:rPr>
          <w:i w:val="0"/>
        </w:rPr>
        <w:t>The work of exposing heyBro over MCP is therefore mostly in the contract, not the plumbing: writing tool descriptions that tell a calling model how to behave, choosing argument schemas that prevent nonsense calls, and shaping failures so that a model relays them instead of papering over them.</w:t>
      </w:r>
    </w:p>
    <w:p>
      <w:pPr>
        <w:pStyle w:val="Heading2"/>
      </w:pPr>
      <w:r>
        <w:t>5.2  What MCP adds</w:t>
      </w:r>
    </w:p>
    <w:p>
      <w:r>
        <w:rPr>
          <w:i w:val="0"/>
        </w:rPr>
        <w:t>Three things, in order of value. First, reach: the same aggregation becomes available inside any MCP-capable assistant, so a user planning a trip in a chat window gets the same grounded data as a user on the website, without heyBro having to build a chat interface. Second, composition: a model can combine heyBro's tools with a calendar, a mail client or a mapping service, producing workflows the web application would never ship on its own — reconciling a disaster alert against an itinerary, for instance. Third, reasoning over several locations at once, which the single-coordinate web view cannot express; the comparison tool in Section 5.4 exists for precisely that.</w:t>
      </w:r>
    </w:p>
    <w:p>
      <w:pPr>
        <w:pStyle w:val="Heading2"/>
      </w:pPr>
      <w:r>
        <w:t>5.3  Server design</w:t>
      </w:r>
    </w:p>
    <w:p>
      <w:r>
        <w:rPr>
          <w:i w:val="0"/>
        </w:rPr>
        <w:t>The accompanying implementation lives at mcp_server/heybro_mcp.py. It is a thin adapter over services/live_service.py rather than a reimplementation, which is the critical design choice: there must be exactly one place where a provider's quirks and a payload's provenance labels are defined, or the web view and the model view will drift apart and one of them will become wrong.</w:t>
      </w:r>
    </w:p>
    <w:p>
      <w:r>
        <w:rPr>
          <w:i w:val="0"/>
        </w:rPr>
        <w:t>Because the live service reads the TomTom key from Flask's application context and imports its HTTP helper from services.http, the server performs a small bootstrap before importing it. If Flask is installed, a throwaway application is created and its context pushed; if not, a minimal stand-in is registered that resolves configuration from environment variables. Likewise, if services.http is importable it is used unchanged; if not — when the server is run outside the full repository — a standard-library implementation providing the same fetch_json signature, the same TTL caching and the same ProviderError type is registered in its place. The result runs both as an adapter inside the application and as a standalone server, with no code duplicated between the two modes.</w:t>
      </w:r>
    </w:p>
    <w:p>
      <w:pPr>
        <w:spacing w:before="140" w:after="0" w:line="240" w:lineRule="auto"/>
        <w:ind w:left="198" w:right="113"/>
        <w:keepNext/>
        <w:shd w:val="clear" w:color="auto" w:fill="F6F7F9"/>
        <w:pBdr>
          <w:left w:val="single" w:sz="18" w:space="6" w:color="C7D2DE"/>
        </w:pBdr>
      </w:pPr>
      <w:r>
        <w:rPr>
          <w:rFonts w:ascii="Consolas" w:hAnsi="Consolas"/>
          <w:color w:val="1E293B"/>
          <w:sz w:val="17"/>
        </w:rPr>
        <w:t>_install_flask_shim()          # real Flask app context, or an env-var stand-in</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_install_http_shim()           # services.http, or a stdlib equivalent</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from services.http import ProviderError, fetch_json</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from services import live_service</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mcp = FastMCP("heybro-travel-intel", instructions=(</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"Live travel-safety intelligence for a point on Earth ...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"Always repeat the `label` and `source` fields to the user: `live` is observed,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"`forecast` is a model prediction, `derived` is computed by this server and is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"NOT an official warning. When a section is missing, say which provider failed "</w:t>
      </w:r>
    </w:p>
    <w:p>
      <w:pPr>
        <w:spacing w:before="0" w:after="140" w:line="240" w:lineRule="auto"/>
        <w:ind w:left="198" w:right="113"/>
        <w:shd w:val="clear" w:color="auto" w:fill="F6F7F9"/>
        <w:pBdr>
          <w:left w:val="single" w:sz="18" w:space="6" w:color="C7D2DE"/>
        </w:pBdr>
      </w:pPr>
      <w:r>
        <w:rPr>
          <w:rFonts w:ascii="Consolas" w:hAnsi="Consolas"/>
          <w:color w:val="1E293B"/>
          <w:sz w:val="17"/>
        </w:rPr>
        <w:t xml:space="preserve">    "and point the user at the official source links rather than guessing."))</w:t>
      </w:r>
    </w:p>
    <w:p>
      <w:pPr>
        <w:spacing w:after="200"/>
        <w:ind w:left="198"/>
      </w:pPr>
      <w:r>
        <w:rPr>
          <w:i/>
          <w:color w:val="6B7280"/>
          <w:sz w:val="17"/>
        </w:rPr>
        <w:t>mcp_server/heybro_mcp.py — bootstrap and server instructions.</w:t>
      </w:r>
    </w:p>
    <w:p>
      <w:r>
        <w:rPr>
          <w:i w:val="0"/>
        </w:rPr>
        <w:t>The server-level instructions string is load-bearing. It is delivered to the model before any tool is called, and it carries the provenance contract that the rest of the system depends on: resolve a place before passing coordinates, repeat the source and label fields, never promote a derived flag to an official warning, and name the failed provider when a section is missing rather than filling the gap.</w:t>
      </w:r>
    </w:p>
    <w:p>
      <w:pPr>
        <w:pStyle w:val="Heading2"/>
      </w:pPr>
      <w:r>
        <w:t>5.4  Tool catalogue</w:t>
      </w:r>
    </w:p>
    <w:tbl>
      <w:tblPr>
        <w:tblStyle w:val="TableGrid"/>
        <w:tblW w:type="auto" w:w="0"/>
        <w:jc w:val="left"/>
        <w:tblLayout w:type="fixed"/>
        <w:tblLook w:firstColumn="1" w:firstRow="1" w:lastColumn="0" w:lastRow="0" w:noHBand="0" w:noVBand="1" w:val="04A0"/>
      </w:tblPr>
      <w:tblGrid>
        <w:gridCol w:w="2353"/>
        <w:gridCol w:w="2353"/>
        <w:gridCol w:w="2353"/>
        <w:gridCol w:w="2353"/>
      </w:tblGrid>
      <w:tr>
        <w:trPr>
          <w:tblHeader/>
        </w:trPr>
        <w:tc>
          <w:tcPr>
            <w:tcW w:type="dxa" w:w="2324"/>
            <w:shd w:val="clear" w:color="auto" w:fill="14304A"/>
          </w:tcPr>
          <w:p>
            <w:pPr>
              <w:spacing w:before="60" w:after="60"/>
            </w:pPr>
            <w:r/>
            <w:r>
              <w:rPr>
                <w:b/>
                <w:color w:val="FFFFFF"/>
                <w:sz w:val="17"/>
              </w:rPr>
              <w:t>Tool</w:t>
            </w:r>
          </w:p>
        </w:tc>
        <w:tc>
          <w:tcPr>
            <w:tcW w:type="dxa" w:w="2098"/>
            <w:shd w:val="clear" w:color="auto" w:fill="14304A"/>
          </w:tcPr>
          <w:p>
            <w:pPr>
              <w:spacing w:before="60" w:after="60"/>
            </w:pPr>
            <w:r/>
            <w:r>
              <w:rPr>
                <w:b/>
                <w:color w:val="FFFFFF"/>
                <w:sz w:val="17"/>
              </w:rPr>
              <w:t>Arguments</w:t>
            </w:r>
          </w:p>
        </w:tc>
        <w:tc>
          <w:tcPr>
            <w:tcW w:type="dxa" w:w="3175"/>
            <w:shd w:val="clear" w:color="auto" w:fill="14304A"/>
          </w:tcPr>
          <w:p>
            <w:pPr>
              <w:spacing w:before="60" w:after="60"/>
            </w:pPr>
            <w:r/>
            <w:r>
              <w:rPr>
                <w:b/>
                <w:color w:val="FFFFFF"/>
                <w:sz w:val="17"/>
              </w:rPr>
              <w:t>Returns</w:t>
            </w:r>
          </w:p>
        </w:tc>
        <w:tc>
          <w:tcPr>
            <w:tcW w:type="dxa" w:w="1814"/>
            <w:shd w:val="clear" w:color="auto" w:fill="14304A"/>
          </w:tcPr>
          <w:p>
            <w:pPr>
              <w:spacing w:before="60" w:after="60"/>
            </w:pPr>
            <w:r/>
            <w:r>
              <w:rPr>
                <w:b/>
                <w:color w:val="FFFFFF"/>
                <w:sz w:val="17"/>
              </w:rPr>
              <w:t>Provenance</w:t>
            </w:r>
          </w:p>
        </w:tc>
      </w:tr>
      <w:tr>
        <w:trPr>
          <w:cantSplit/>
        </w:trPr>
        <w:tc>
          <w:tcPr>
            <w:tcW w:type="dxa" w:w="2324"/>
          </w:tcPr>
          <w:p>
            <w:pPr>
              <w:spacing w:before="50" w:after="50" w:line="259" w:lineRule="auto"/>
            </w:pPr>
            <w:r/>
            <w:r>
              <w:rPr>
                <w:rFonts w:ascii="Consolas" w:hAnsi="Consolas"/>
                <w:color w:val="8B2E4F"/>
                <w:sz w:val="16"/>
              </w:rPr>
              <w:t>search_places</w:t>
            </w:r>
          </w:p>
        </w:tc>
        <w:tc>
          <w:tcPr>
            <w:tcW w:type="dxa" w:w="2098"/>
          </w:tcPr>
          <w:p>
            <w:pPr>
              <w:spacing w:before="50" w:after="50" w:line="259" w:lineRule="auto"/>
            </w:pPr>
            <w:r/>
            <w:r>
              <w:rPr>
                <w:sz w:val="17"/>
              </w:rPr>
              <w:t>query, limit=5</w:t>
            </w:r>
          </w:p>
        </w:tc>
        <w:tc>
          <w:tcPr>
            <w:tcW w:type="dxa" w:w="3175"/>
          </w:tcPr>
          <w:p>
            <w:pPr>
              <w:spacing w:before="50" w:after="50" w:line="259" w:lineRule="auto"/>
            </w:pPr>
            <w:r/>
            <w:r>
              <w:rPr>
                <w:sz w:val="17"/>
              </w:rPr>
              <w:t>Candidate places with coordinates, country code, timezone</w:t>
            </w:r>
          </w:p>
        </w:tc>
        <w:tc>
          <w:tcPr>
            <w:tcW w:type="dxa" w:w="1814"/>
          </w:tcPr>
          <w:p>
            <w:pPr>
              <w:spacing w:before="50" w:after="50" w:line="259" w:lineRule="auto"/>
            </w:pPr>
            <w:r/>
            <w:r>
              <w:rPr>
                <w:sz w:val="17"/>
              </w:rPr>
              <w:t>live</w:t>
            </w:r>
          </w:p>
        </w:tc>
      </w:tr>
      <w:tr>
        <w:trPr>
          <w:cantSplit/>
        </w:trPr>
        <w:tc>
          <w:tcPr>
            <w:tcW w:type="dxa" w:w="2324"/>
            <w:shd w:val="clear" w:color="auto" w:fill="F1F5F9"/>
          </w:tcPr>
          <w:p>
            <w:pPr>
              <w:spacing w:before="50" w:after="50" w:line="259" w:lineRule="auto"/>
            </w:pPr>
            <w:r/>
            <w:r>
              <w:rPr>
                <w:rFonts w:ascii="Consolas" w:hAnsi="Consolas"/>
                <w:color w:val="8B2E4F"/>
                <w:sz w:val="16"/>
              </w:rPr>
              <w:t>reverse_geocode</w:t>
            </w:r>
          </w:p>
        </w:tc>
        <w:tc>
          <w:tcPr>
            <w:tcW w:type="dxa" w:w="2098"/>
            <w:shd w:val="clear" w:color="auto" w:fill="F1F5F9"/>
          </w:tcPr>
          <w:p>
            <w:pPr>
              <w:spacing w:before="50" w:after="50" w:line="259" w:lineRule="auto"/>
            </w:pPr>
            <w:r/>
            <w:r>
              <w:rPr>
                <w:sz w:val="17"/>
              </w:rPr>
              <w:t>lat, lon</w:t>
            </w:r>
          </w:p>
        </w:tc>
        <w:tc>
          <w:tcPr>
            <w:tcW w:type="dxa" w:w="3175"/>
            <w:shd w:val="clear" w:color="auto" w:fill="F1F5F9"/>
          </w:tcPr>
          <w:p>
            <w:pPr>
              <w:spacing w:before="50" w:after="50" w:line="259" w:lineRule="auto"/>
            </w:pPr>
            <w:r/>
            <w:r>
              <w:rPr>
                <w:sz w:val="17"/>
              </w:rPr>
              <w:t>Place name and ISO country code for a coordinate</w:t>
            </w:r>
          </w:p>
        </w:tc>
        <w:tc>
          <w:tcPr>
            <w:tcW w:type="dxa" w:w="1814"/>
            <w:shd w:val="clear" w:color="auto" w:fill="F1F5F9"/>
          </w:tcPr>
          <w:p>
            <w:pPr>
              <w:spacing w:before="50" w:after="50" w:line="259" w:lineRule="auto"/>
            </w:pPr>
            <w:r/>
            <w:r>
              <w:rPr>
                <w:sz w:val="17"/>
              </w:rPr>
              <w:t>live</w:t>
            </w:r>
          </w:p>
        </w:tc>
      </w:tr>
      <w:tr>
        <w:trPr>
          <w:cantSplit/>
        </w:trPr>
        <w:tc>
          <w:tcPr>
            <w:tcW w:type="dxa" w:w="2324"/>
          </w:tcPr>
          <w:p>
            <w:pPr>
              <w:spacing w:before="50" w:after="50" w:line="259" w:lineRule="auto"/>
            </w:pPr>
            <w:r/>
            <w:r>
              <w:rPr>
                <w:rFonts w:ascii="Consolas" w:hAnsi="Consolas"/>
                <w:color w:val="8B2E4F"/>
                <w:sz w:val="16"/>
              </w:rPr>
              <w:t>get_elevation</w:t>
            </w:r>
          </w:p>
        </w:tc>
        <w:tc>
          <w:tcPr>
            <w:tcW w:type="dxa" w:w="2098"/>
          </w:tcPr>
          <w:p>
            <w:pPr>
              <w:spacing w:before="50" w:after="50" w:line="259" w:lineRule="auto"/>
            </w:pPr>
            <w:r/>
            <w:r>
              <w:rPr>
                <w:sz w:val="17"/>
              </w:rPr>
              <w:t>latitudes[], longitudes[]</w:t>
            </w:r>
          </w:p>
        </w:tc>
        <w:tc>
          <w:tcPr>
            <w:tcW w:type="dxa" w:w="3175"/>
          </w:tcPr>
          <w:p>
            <w:pPr>
              <w:spacing w:before="50" w:after="50" w:line="259" w:lineRule="auto"/>
            </w:pPr>
            <w:r/>
            <w:r>
              <w:rPr>
                <w:sz w:val="17"/>
              </w:rPr>
              <w:t>Ground elevation per point and the maximum</w:t>
            </w:r>
          </w:p>
        </w:tc>
        <w:tc>
          <w:tcPr>
            <w:tcW w:type="dxa" w:w="1814"/>
          </w:tcPr>
          <w:p>
            <w:pPr>
              <w:spacing w:before="50" w:after="50" w:line="259" w:lineRule="auto"/>
            </w:pPr>
            <w:r/>
            <w:r>
              <w:rPr>
                <w:sz w:val="17"/>
              </w:rPr>
              <w:t>live</w:t>
            </w:r>
          </w:p>
        </w:tc>
      </w:tr>
      <w:tr>
        <w:trPr>
          <w:cantSplit/>
        </w:trPr>
        <w:tc>
          <w:tcPr>
            <w:tcW w:type="dxa" w:w="2324"/>
            <w:shd w:val="clear" w:color="auto" w:fill="F1F5F9"/>
          </w:tcPr>
          <w:p>
            <w:pPr>
              <w:spacing w:before="50" w:after="50" w:line="259" w:lineRule="auto"/>
            </w:pPr>
            <w:r/>
            <w:r>
              <w:rPr>
                <w:rFonts w:ascii="Consolas" w:hAnsi="Consolas"/>
                <w:color w:val="8B2E4F"/>
                <w:sz w:val="16"/>
              </w:rPr>
              <w:t>get_weather</w:t>
            </w:r>
          </w:p>
        </w:tc>
        <w:tc>
          <w:tcPr>
            <w:tcW w:type="dxa" w:w="2098"/>
            <w:shd w:val="clear" w:color="auto" w:fill="F1F5F9"/>
          </w:tcPr>
          <w:p>
            <w:pPr>
              <w:spacing w:before="50" w:after="50" w:line="259" w:lineRule="auto"/>
            </w:pPr>
            <w:r/>
            <w:r>
              <w:rPr>
                <w:sz w:val="17"/>
              </w:rPr>
              <w:t>lat, lon</w:t>
            </w:r>
          </w:p>
        </w:tc>
        <w:tc>
          <w:tcPr>
            <w:tcW w:type="dxa" w:w="3175"/>
            <w:shd w:val="clear" w:color="auto" w:fill="F1F5F9"/>
          </w:tcPr>
          <w:p>
            <w:pPr>
              <w:spacing w:before="50" w:after="50" w:line="259" w:lineRule="auto"/>
            </w:pPr>
            <w:r/>
            <w:r>
              <w:rPr>
                <w:sz w:val="17"/>
              </w:rPr>
              <w:t>Current conditions, 7-day forecast, derived flags</w:t>
            </w:r>
          </w:p>
        </w:tc>
        <w:tc>
          <w:tcPr>
            <w:tcW w:type="dxa" w:w="1814"/>
            <w:shd w:val="clear" w:color="auto" w:fill="F1F5F9"/>
          </w:tcPr>
          <w:p>
            <w:pPr>
              <w:spacing w:before="50" w:after="50" w:line="259" w:lineRule="auto"/>
            </w:pPr>
            <w:r/>
            <w:r>
              <w:rPr>
                <w:sz w:val="17"/>
              </w:rPr>
              <w:t>live + forecast + derived</w:t>
            </w:r>
          </w:p>
        </w:tc>
      </w:tr>
      <w:tr>
        <w:trPr>
          <w:cantSplit/>
        </w:trPr>
        <w:tc>
          <w:tcPr>
            <w:tcW w:type="dxa" w:w="2324"/>
          </w:tcPr>
          <w:p>
            <w:pPr>
              <w:spacing w:before="50" w:after="50" w:line="259" w:lineRule="auto"/>
            </w:pPr>
            <w:r/>
            <w:r>
              <w:rPr>
                <w:rFonts w:ascii="Consolas" w:hAnsi="Consolas"/>
                <w:color w:val="8B2E4F"/>
                <w:sz w:val="16"/>
              </w:rPr>
              <w:t>get_active_disasters</w:t>
            </w:r>
          </w:p>
        </w:tc>
        <w:tc>
          <w:tcPr>
            <w:tcW w:type="dxa" w:w="2098"/>
          </w:tcPr>
          <w:p>
            <w:pPr>
              <w:spacing w:before="50" w:after="50" w:line="259" w:lineRule="auto"/>
            </w:pPr>
            <w:r/>
            <w:r>
              <w:rPr>
                <w:sz w:val="17"/>
              </w:rPr>
              <w:t>lat, lon, radius_km=800</w:t>
            </w:r>
          </w:p>
        </w:tc>
        <w:tc>
          <w:tcPr>
            <w:tcW w:type="dxa" w:w="3175"/>
          </w:tcPr>
          <w:p>
            <w:pPr>
              <w:spacing w:before="50" w:after="50" w:line="259" w:lineRule="auto"/>
            </w:pPr>
            <w:r/>
            <w:r>
              <w:rPr>
                <w:sz w:val="17"/>
              </w:rPr>
              <w:t>GDACS events with alert level and distance</w:t>
            </w:r>
          </w:p>
        </w:tc>
        <w:tc>
          <w:tcPr>
            <w:tcW w:type="dxa" w:w="1814"/>
          </w:tcPr>
          <w:p>
            <w:pPr>
              <w:spacing w:before="50" w:after="50" w:line="259" w:lineRule="auto"/>
            </w:pPr>
            <w:r/>
            <w:r>
              <w:rPr>
                <w:sz w:val="17"/>
              </w:rPr>
              <w:t>live</w:t>
            </w:r>
          </w:p>
        </w:tc>
      </w:tr>
      <w:tr>
        <w:trPr>
          <w:cantSplit/>
        </w:trPr>
        <w:tc>
          <w:tcPr>
            <w:tcW w:type="dxa" w:w="2324"/>
            <w:shd w:val="clear" w:color="auto" w:fill="F1F5F9"/>
          </w:tcPr>
          <w:p>
            <w:pPr>
              <w:spacing w:before="50" w:after="50" w:line="259" w:lineRule="auto"/>
            </w:pPr>
            <w:r/>
            <w:r>
              <w:rPr>
                <w:rFonts w:ascii="Consolas" w:hAnsi="Consolas"/>
                <w:color w:val="8B2E4F"/>
                <w:sz w:val="16"/>
              </w:rPr>
              <w:t>get_official_alerts</w:t>
            </w:r>
          </w:p>
        </w:tc>
        <w:tc>
          <w:tcPr>
            <w:tcW w:type="dxa" w:w="2098"/>
            <w:shd w:val="clear" w:color="auto" w:fill="F1F5F9"/>
          </w:tcPr>
          <w:p>
            <w:pPr>
              <w:spacing w:before="50" w:after="50" w:line="259" w:lineRule="auto"/>
            </w:pPr>
            <w:r/>
            <w:r>
              <w:rPr>
                <w:sz w:val="17"/>
              </w:rPr>
              <w:t>lat, lon, country_code</w:t>
            </w:r>
          </w:p>
        </w:tc>
        <w:tc>
          <w:tcPr>
            <w:tcW w:type="dxa" w:w="3175"/>
            <w:shd w:val="clear" w:color="auto" w:fill="F1F5F9"/>
          </w:tcPr>
          <w:p>
            <w:pPr>
              <w:spacing w:before="50" w:after="50" w:line="259" w:lineRule="auto"/>
            </w:pPr>
            <w:r/>
            <w:r>
              <w:rPr>
                <w:sz w:val="17"/>
              </w:rPr>
              <w:t>NWS alerts, or national authority links</w:t>
            </w:r>
          </w:p>
        </w:tc>
        <w:tc>
          <w:tcPr>
            <w:tcW w:type="dxa" w:w="1814"/>
            <w:shd w:val="clear" w:color="auto" w:fill="F1F5F9"/>
          </w:tcPr>
          <w:p>
            <w:pPr>
              <w:spacing w:before="50" w:after="50" w:line="259" w:lineRule="auto"/>
            </w:pPr>
            <w:r/>
            <w:r>
              <w:rPr>
                <w:sz w:val="17"/>
              </w:rPr>
              <w:t>live or none</w:t>
            </w:r>
          </w:p>
        </w:tc>
      </w:tr>
      <w:tr>
        <w:trPr>
          <w:cantSplit/>
        </w:trPr>
        <w:tc>
          <w:tcPr>
            <w:tcW w:type="dxa" w:w="2324"/>
          </w:tcPr>
          <w:p>
            <w:pPr>
              <w:spacing w:before="50" w:after="50" w:line="259" w:lineRule="auto"/>
            </w:pPr>
            <w:r/>
            <w:r>
              <w:rPr>
                <w:rFonts w:ascii="Consolas" w:hAnsi="Consolas"/>
                <w:color w:val="8B2E4F"/>
                <w:sz w:val="16"/>
              </w:rPr>
              <w:t>get_road_incidents</w:t>
            </w:r>
          </w:p>
        </w:tc>
        <w:tc>
          <w:tcPr>
            <w:tcW w:type="dxa" w:w="2098"/>
          </w:tcPr>
          <w:p>
            <w:pPr>
              <w:spacing w:before="50" w:after="50" w:line="259" w:lineRule="auto"/>
            </w:pPr>
            <w:r/>
            <w:r>
              <w:rPr>
                <w:sz w:val="17"/>
              </w:rPr>
              <w:t>lat, lon, radius_km=20</w:t>
            </w:r>
          </w:p>
        </w:tc>
        <w:tc>
          <w:tcPr>
            <w:tcW w:type="dxa" w:w="3175"/>
          </w:tcPr>
          <w:p>
            <w:pPr>
              <w:spacing w:before="50" w:after="50" w:line="259" w:lineRule="auto"/>
            </w:pPr>
            <w:r/>
            <w:r>
              <w:rPr>
                <w:sz w:val="17"/>
              </w:rPr>
              <w:t>Closures and incidents, or a not-configured notice</w:t>
            </w:r>
          </w:p>
        </w:tc>
        <w:tc>
          <w:tcPr>
            <w:tcW w:type="dxa" w:w="1814"/>
          </w:tcPr>
          <w:p>
            <w:pPr>
              <w:spacing w:before="50" w:after="50" w:line="259" w:lineRule="auto"/>
            </w:pPr>
            <w:r/>
            <w:r>
              <w:rPr>
                <w:sz w:val="17"/>
              </w:rPr>
              <w:t>live or none</w:t>
            </w:r>
          </w:p>
        </w:tc>
      </w:tr>
      <w:tr>
        <w:trPr>
          <w:cantSplit/>
        </w:trPr>
        <w:tc>
          <w:tcPr>
            <w:tcW w:type="dxa" w:w="2324"/>
            <w:shd w:val="clear" w:color="auto" w:fill="F1F5F9"/>
          </w:tcPr>
          <w:p>
            <w:pPr>
              <w:spacing w:before="50" w:after="50" w:line="259" w:lineRule="auto"/>
            </w:pPr>
            <w:r/>
            <w:r>
              <w:rPr>
                <w:rFonts w:ascii="Consolas" w:hAnsi="Consolas"/>
                <w:color w:val="8B2E4F"/>
                <w:sz w:val="16"/>
              </w:rPr>
              <w:t>get_travel_conditions</w:t>
            </w:r>
          </w:p>
        </w:tc>
        <w:tc>
          <w:tcPr>
            <w:tcW w:type="dxa" w:w="2098"/>
            <w:shd w:val="clear" w:color="auto" w:fill="F1F5F9"/>
          </w:tcPr>
          <w:p>
            <w:pPr>
              <w:spacing w:before="50" w:after="50" w:line="259" w:lineRule="auto"/>
            </w:pPr>
            <w:r/>
            <w:r>
              <w:rPr>
                <w:sz w:val="17"/>
              </w:rPr>
              <w:t>lat, lon, country_code</w:t>
            </w:r>
          </w:p>
        </w:tc>
        <w:tc>
          <w:tcPr>
            <w:tcW w:type="dxa" w:w="3175"/>
            <w:shd w:val="clear" w:color="auto" w:fill="F1F5F9"/>
          </w:tcPr>
          <w:p>
            <w:pPr>
              <w:spacing w:before="50" w:after="50" w:line="259" w:lineRule="auto"/>
            </w:pPr>
            <w:r/>
            <w:r>
              <w:rPr>
                <w:sz w:val="17"/>
              </w:rPr>
              <w:t>All of the above in one call, with per-section errors</w:t>
            </w:r>
          </w:p>
        </w:tc>
        <w:tc>
          <w:tcPr>
            <w:tcW w:type="dxa" w:w="1814"/>
            <w:shd w:val="clear" w:color="auto" w:fill="F1F5F9"/>
          </w:tcPr>
          <w:p>
            <w:pPr>
              <w:spacing w:before="50" w:after="50" w:line="259" w:lineRule="auto"/>
            </w:pPr>
            <w:r/>
            <w:r>
              <w:rPr>
                <w:sz w:val="17"/>
              </w:rPr>
              <w:t>mixed</w:t>
            </w:r>
          </w:p>
        </w:tc>
      </w:tr>
      <w:tr>
        <w:trPr>
          <w:cantSplit/>
        </w:trPr>
        <w:tc>
          <w:tcPr>
            <w:tcW w:type="dxa" w:w="2324"/>
          </w:tcPr>
          <w:p>
            <w:pPr>
              <w:spacing w:before="50" w:after="50" w:line="259" w:lineRule="auto"/>
            </w:pPr>
            <w:r/>
            <w:r>
              <w:rPr>
                <w:rFonts w:ascii="Consolas" w:hAnsi="Consolas"/>
                <w:color w:val="8B2E4F"/>
                <w:sz w:val="16"/>
              </w:rPr>
              <w:t>find_nearby_places</w:t>
            </w:r>
          </w:p>
        </w:tc>
        <w:tc>
          <w:tcPr>
            <w:tcW w:type="dxa" w:w="2098"/>
          </w:tcPr>
          <w:p>
            <w:pPr>
              <w:spacing w:before="50" w:after="50" w:line="259" w:lineRule="auto"/>
            </w:pPr>
            <w:r/>
            <w:r>
              <w:rPr>
                <w:sz w:val="17"/>
              </w:rPr>
              <w:t>lat, lon, categories[]</w:t>
            </w:r>
          </w:p>
        </w:tc>
        <w:tc>
          <w:tcPr>
            <w:tcW w:type="dxa" w:w="3175"/>
          </w:tcPr>
          <w:p>
            <w:pPr>
              <w:spacing w:before="50" w:after="50" w:line="259" w:lineRule="auto"/>
            </w:pPr>
            <w:r/>
            <w:r>
              <w:rPr>
                <w:sz w:val="17"/>
              </w:rPr>
              <w:t>OpenStreetMap points of interest via Overpass</w:t>
            </w:r>
          </w:p>
        </w:tc>
        <w:tc>
          <w:tcPr>
            <w:tcW w:type="dxa" w:w="1814"/>
          </w:tcPr>
          <w:p>
            <w:pPr>
              <w:spacing w:before="50" w:after="50" w:line="259" w:lineRule="auto"/>
            </w:pPr>
            <w:r/>
            <w:r>
              <w:rPr>
                <w:sz w:val="17"/>
              </w:rPr>
              <w:t>live</w:t>
            </w:r>
          </w:p>
        </w:tc>
      </w:tr>
      <w:tr>
        <w:trPr>
          <w:cantSplit/>
        </w:trPr>
        <w:tc>
          <w:tcPr>
            <w:tcW w:type="dxa" w:w="2324"/>
            <w:shd w:val="clear" w:color="auto" w:fill="F1F5F9"/>
          </w:tcPr>
          <w:p>
            <w:pPr>
              <w:spacing w:before="50" w:after="50" w:line="259" w:lineRule="auto"/>
            </w:pPr>
            <w:r/>
            <w:r>
              <w:rPr>
                <w:rFonts w:ascii="Consolas" w:hAnsi="Consolas"/>
                <w:color w:val="8B2E4F"/>
                <w:sz w:val="16"/>
              </w:rPr>
              <w:t>assess_location_risk</w:t>
            </w:r>
          </w:p>
        </w:tc>
        <w:tc>
          <w:tcPr>
            <w:tcW w:type="dxa" w:w="2098"/>
            <w:shd w:val="clear" w:color="auto" w:fill="F1F5F9"/>
          </w:tcPr>
          <w:p>
            <w:pPr>
              <w:spacing w:before="50" w:after="50" w:line="259" w:lineRule="auto"/>
            </w:pPr>
            <w:r/>
            <w:r>
              <w:rPr>
                <w:sz w:val="17"/>
              </w:rPr>
              <w:t>lat, lon, country_code</w:t>
            </w:r>
          </w:p>
        </w:tc>
        <w:tc>
          <w:tcPr>
            <w:tcW w:type="dxa" w:w="3175"/>
            <w:shd w:val="clear" w:color="auto" w:fill="F1F5F9"/>
          </w:tcPr>
          <w:p>
            <w:pPr>
              <w:spacing w:before="50" w:after="50" w:line="259" w:lineRule="auto"/>
            </w:pPr>
            <w:r/>
            <w:r>
              <w:rPr>
                <w:sz w:val="17"/>
              </w:rPr>
              <w:t>0–100 attention score with its contributing factors</w:t>
            </w:r>
          </w:p>
        </w:tc>
        <w:tc>
          <w:tcPr>
            <w:tcW w:type="dxa" w:w="1814"/>
            <w:shd w:val="clear" w:color="auto" w:fill="F1F5F9"/>
          </w:tcPr>
          <w:p>
            <w:pPr>
              <w:spacing w:before="50" w:after="50" w:line="259" w:lineRule="auto"/>
            </w:pPr>
            <w:r/>
            <w:r>
              <w:rPr>
                <w:sz w:val="17"/>
              </w:rPr>
              <w:t>derived</w:t>
            </w:r>
          </w:p>
        </w:tc>
      </w:tr>
      <w:tr>
        <w:trPr>
          <w:cantSplit/>
        </w:trPr>
        <w:tc>
          <w:tcPr>
            <w:tcW w:type="dxa" w:w="2324"/>
          </w:tcPr>
          <w:p>
            <w:pPr>
              <w:spacing w:before="50" w:after="50" w:line="259" w:lineRule="auto"/>
            </w:pPr>
            <w:r/>
            <w:r>
              <w:rPr>
                <w:rFonts w:ascii="Consolas" w:hAnsi="Consolas"/>
                <w:color w:val="8B2E4F"/>
                <w:sz w:val="16"/>
              </w:rPr>
              <w:t>compare_destinations</w:t>
            </w:r>
          </w:p>
        </w:tc>
        <w:tc>
          <w:tcPr>
            <w:tcW w:type="dxa" w:w="2098"/>
          </w:tcPr>
          <w:p>
            <w:pPr>
              <w:spacing w:before="50" w:after="50" w:line="259" w:lineRule="auto"/>
            </w:pPr>
            <w:r/>
            <w:r>
              <w:rPr>
                <w:sz w:val="17"/>
              </w:rPr>
              <w:t>places[]</w:t>
            </w:r>
          </w:p>
        </w:tc>
        <w:tc>
          <w:tcPr>
            <w:tcW w:type="dxa" w:w="3175"/>
          </w:tcPr>
          <w:p>
            <w:pPr>
              <w:spacing w:before="50" w:after="50" w:line="259" w:lineRule="auto"/>
            </w:pPr>
            <w:r/>
            <w:r>
              <w:rPr>
                <w:sz w:val="17"/>
              </w:rPr>
              <w:t>Candidate destinations ranked calmest-first</w:t>
            </w:r>
          </w:p>
        </w:tc>
        <w:tc>
          <w:tcPr>
            <w:tcW w:type="dxa" w:w="1814"/>
          </w:tcPr>
          <w:p>
            <w:pPr>
              <w:spacing w:before="50" w:after="50" w:line="259" w:lineRule="auto"/>
            </w:pPr>
            <w:r/>
            <w:r>
              <w:rPr>
                <w:sz w:val="17"/>
              </w:rPr>
              <w:t>derived</w:t>
            </w:r>
          </w:p>
        </w:tc>
      </w:tr>
    </w:tbl>
    <w:p>
      <w:pPr>
        <w:spacing w:after="0"/>
      </w:pPr>
    </w:p>
    <w:p>
      <w:pPr>
        <w:spacing w:after="240"/>
      </w:pPr>
      <w:r>
        <w:rPr>
          <w:i/>
          <w:color w:val="6B7280"/>
          <w:sz w:val="17"/>
        </w:rPr>
        <w:t>Table 11 — The eleven tools exposed by mcp_server/heybro_mcp.py.</w:t>
      </w:r>
    </w:p>
    <w:p>
      <w:r>
        <w:rPr>
          <w:i w:val="0"/>
        </w:rPr>
        <w:t>The first nine are adapters: they call straight through to live_service or geo_service and add only an ok flag and a structured failure path. The last two are new, and they exist because a conversational interface invites questions the web view cannot answer — “which of these three places is safest this week?” — and because answering that badly is worse than not answering. They are discussed in Section 5.6.</w:t>
      </w:r>
    </w:p>
    <w:p>
      <w:pPr>
        <w:pStyle w:val="Heading2"/>
      </w:pPr>
      <w:r>
        <w:t>5.5  Failure contract</w:t>
      </w:r>
    </w:p>
    <w:p>
      <w:r>
        <w:rPr>
          <w:i w:val="0"/>
        </w:rPr>
        <w:t>No tool raises. Every provider failure is converted into a result the model can relay honestly, carrying what failed, the provider's message, the HTTP status where one exists, explicit advice not to substitute a guess, and the official-source registry so the model has somewhere real to point the user.</w:t>
      </w:r>
    </w:p>
    <w:p>
      <w:pPr>
        <w:spacing w:before="140" w:after="0" w:line="240" w:lineRule="auto"/>
        <w:ind w:left="198" w:right="113"/>
        <w:keepNext/>
        <w:shd w:val="clear" w:color="auto" w:fill="F6F7F9"/>
        <w:pBdr>
          <w:left w:val="single" w:sz="18" w:space="6" w:color="C7D2DE"/>
        </w:pBdr>
      </w:pPr>
      <w:r>
        <w:rPr>
          <w:rFonts w:ascii="Consolas" w:hAnsi="Consolas"/>
          <w:color w:val="1E293B"/>
          <w:sz w:val="17"/>
        </w:rPr>
        <w:t>def _fail(exc, what):</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return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"ok": False,</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"source": "none",</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"what_failed": what,</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"error": str(exc),</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"status": getattr(exc, "status", None),</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"advice": "Tell the user this section is unavailable; do not substitute a guess.",</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"official_sources": live_service.OFFICIAL_ADVISORY_SOURCES,</w:t>
      </w:r>
    </w:p>
    <w:p>
      <w:pPr>
        <w:spacing w:before="0" w:after="140" w:line="240" w:lineRule="auto"/>
        <w:ind w:left="198" w:right="113"/>
        <w:shd w:val="clear" w:color="auto" w:fill="F6F7F9"/>
        <w:pBdr>
          <w:left w:val="single" w:sz="18" w:space="6" w:color="C7D2DE"/>
        </w:pBdr>
      </w:pPr>
      <w:r>
        <w:rPr>
          <w:rFonts w:ascii="Consolas" w:hAnsi="Consolas"/>
          <w:color w:val="1E293B"/>
          <w:sz w:val="17"/>
        </w:rPr>
        <w:t xml:space="preserve">    }</w:t>
      </w:r>
    </w:p>
    <w:p>
      <w:pPr>
        <w:spacing w:after="200"/>
        <w:ind w:left="198"/>
      </w:pPr>
      <w:r>
        <w:rPr>
          <w:i/>
          <w:color w:val="6B7280"/>
          <w:sz w:val="17"/>
        </w:rPr>
        <w:t>mcp_server/heybro_mcp.py — the single failure shape used by every tool.</w:t>
      </w:r>
    </w:p>
    <w:p>
      <w:r>
        <w:rPr>
          <w:i w:val="0"/>
        </w:rPr>
        <w:t>This is a deliberate inversion of normal library design. Raising an exception is usually better than returning an error object, because it cannot be ignored. But the consumer here is a language model, and an exception surfaces to it as an opaque protocol error that invites a plausible-sounding guess, whereas a structured failure gives it the words to say what is unknown. The instruction to the model is carried inside the data.</w:t>
      </w:r>
    </w:p>
    <w:p>
      <w:pPr>
        <w:pStyle w:val="Heading2"/>
      </w:pPr>
      <w:r>
        <w:t>5.6  The derived risk model</w:t>
      </w:r>
    </w:p>
    <w:p>
      <w:r>
        <w:rPr>
          <w:i w:val="0"/>
        </w:rPr>
        <w:t>assess_location_risk computes a 0–100 attention score from the aggregate. GDACS events contribute by alert level, weighted down by distance on a linear decay with a floor, so that a red alert nearby dominates a red alert far away. Each derived forecast flag contributes a flat amount. Official alerts contribute by severity. The score is capped at one hundred and bucketed into a band.</w:t>
      </w:r>
    </w:p>
    <w:tbl>
      <w:tblPr>
        <w:tblStyle w:val="TableGrid"/>
        <w:tblW w:type="auto" w:w="0"/>
        <w:jc w:val="left"/>
        <w:tblLayout w:type="fixed"/>
        <w:tblLook w:firstColumn="1" w:firstRow="1" w:lastColumn="0" w:lastRow="0" w:noHBand="0" w:noVBand="1" w:val="04A0"/>
      </w:tblPr>
      <w:tblGrid>
        <w:gridCol w:w="4706"/>
        <w:gridCol w:w="4706"/>
      </w:tblGrid>
      <w:tr>
        <w:trPr>
          <w:tblHeader/>
        </w:trPr>
        <w:tc>
          <w:tcPr>
            <w:tcW w:type="dxa" w:w="3402"/>
            <w:shd w:val="clear" w:color="auto" w:fill="14304A"/>
          </w:tcPr>
          <w:p>
            <w:pPr>
              <w:spacing w:before="60" w:after="60"/>
            </w:pPr>
            <w:r/>
            <w:r>
              <w:rPr>
                <w:b/>
                <w:color w:val="FFFFFF"/>
                <w:sz w:val="17"/>
              </w:rPr>
              <w:t>Signal</w:t>
            </w:r>
          </w:p>
        </w:tc>
        <w:tc>
          <w:tcPr>
            <w:tcW w:type="dxa" w:w="6009"/>
            <w:shd w:val="clear" w:color="auto" w:fill="14304A"/>
          </w:tcPr>
          <w:p>
            <w:pPr>
              <w:spacing w:before="60" w:after="60"/>
            </w:pPr>
            <w:r/>
            <w:r>
              <w:rPr>
                <w:b/>
                <w:color w:val="FFFFFF"/>
                <w:sz w:val="17"/>
              </w:rPr>
              <w:t>Contribution</w:t>
            </w:r>
          </w:p>
        </w:tc>
      </w:tr>
      <w:tr>
        <w:trPr>
          <w:cantSplit/>
        </w:trPr>
        <w:tc>
          <w:tcPr>
            <w:tcW w:type="dxa" w:w="3402"/>
          </w:tcPr>
          <w:p>
            <w:pPr>
              <w:spacing w:before="50" w:after="50" w:line="259" w:lineRule="auto"/>
            </w:pPr>
            <w:r/>
            <w:r>
              <w:rPr>
                <w:sz w:val="17"/>
              </w:rPr>
              <w:t>GDACS red / orange / green alert</w:t>
            </w:r>
          </w:p>
        </w:tc>
        <w:tc>
          <w:tcPr>
            <w:tcW w:type="dxa" w:w="6009"/>
          </w:tcPr>
          <w:p>
            <w:pPr>
              <w:spacing w:before="50" w:after="50" w:line="259" w:lineRule="auto"/>
            </w:pPr>
            <w:r/>
            <w:r>
              <w:rPr>
                <w:sz w:val="17"/>
              </w:rPr>
              <w:t>45 / 25 / 10, multiplied by max(0.15, 1 − distance_km ÷ 800)</w:t>
            </w:r>
          </w:p>
        </w:tc>
      </w:tr>
      <w:tr>
        <w:trPr>
          <w:cantSplit/>
        </w:trPr>
        <w:tc>
          <w:tcPr>
            <w:tcW w:type="dxa" w:w="3402"/>
            <w:shd w:val="clear" w:color="auto" w:fill="F1F5F9"/>
          </w:tcPr>
          <w:p>
            <w:pPr>
              <w:spacing w:before="50" w:after="50" w:line="259" w:lineRule="auto"/>
            </w:pPr>
            <w:r/>
            <w:r>
              <w:rPr>
                <w:sz w:val="17"/>
              </w:rPr>
              <w:t>Each derived forecast flag</w:t>
            </w:r>
          </w:p>
        </w:tc>
        <w:tc>
          <w:tcPr>
            <w:tcW w:type="dxa" w:w="6009"/>
            <w:shd w:val="clear" w:color="auto" w:fill="F1F5F9"/>
          </w:tcPr>
          <w:p>
            <w:pPr>
              <w:spacing w:before="50" w:after="50" w:line="259" w:lineRule="auto"/>
            </w:pPr>
            <w:r/>
            <w:r>
              <w:rPr>
                <w:sz w:val="17"/>
              </w:rPr>
              <w:t>8, for up to six flags</w:t>
            </w:r>
          </w:p>
        </w:tc>
      </w:tr>
      <w:tr>
        <w:trPr>
          <w:cantSplit/>
        </w:trPr>
        <w:tc>
          <w:tcPr>
            <w:tcW w:type="dxa" w:w="3402"/>
          </w:tcPr>
          <w:p>
            <w:pPr>
              <w:spacing w:before="50" w:after="50" w:line="259" w:lineRule="auto"/>
            </w:pPr>
            <w:r/>
            <w:r>
              <w:rPr>
                <w:sz w:val="17"/>
              </w:rPr>
              <w:t>Official alert, extreme / severe / moderate</w:t>
            </w:r>
          </w:p>
        </w:tc>
        <w:tc>
          <w:tcPr>
            <w:tcW w:type="dxa" w:w="6009"/>
          </w:tcPr>
          <w:p>
            <w:pPr>
              <w:spacing w:before="50" w:after="50" w:line="259" w:lineRule="auto"/>
            </w:pPr>
            <w:r/>
            <w:r>
              <w:rPr>
                <w:sz w:val="17"/>
              </w:rPr>
              <w:t>30 / 20 / 10, other severities 5</w:t>
            </w:r>
          </w:p>
        </w:tc>
      </w:tr>
      <w:tr>
        <w:trPr>
          <w:cantSplit/>
        </w:trPr>
        <w:tc>
          <w:tcPr>
            <w:tcW w:type="dxa" w:w="3402"/>
            <w:shd w:val="clear" w:color="auto" w:fill="F1F5F9"/>
          </w:tcPr>
          <w:p>
            <w:pPr>
              <w:spacing w:before="50" w:after="50" w:line="259" w:lineRule="auto"/>
            </w:pPr>
            <w:r/>
            <w:r>
              <w:rPr>
                <w:sz w:val="17"/>
              </w:rPr>
              <w:t>Score bands</w:t>
            </w:r>
          </w:p>
        </w:tc>
        <w:tc>
          <w:tcPr>
            <w:tcW w:type="dxa" w:w="6009"/>
            <w:shd w:val="clear" w:color="auto" w:fill="F1F5F9"/>
          </w:tcPr>
          <w:p>
            <w:pPr>
              <w:spacing w:before="50" w:after="50" w:line="259" w:lineRule="auto"/>
            </w:pPr>
            <w:r/>
            <w:r>
              <w:rPr>
                <w:sz w:val="17"/>
              </w:rPr>
              <w:t>calm below 15, watch below 35, elevated below 60, high at 60 and above</w:t>
            </w:r>
          </w:p>
        </w:tc>
      </w:tr>
    </w:tbl>
    <w:p>
      <w:pPr>
        <w:spacing w:after="0"/>
      </w:pPr>
    </w:p>
    <w:p>
      <w:pPr>
        <w:spacing w:after="240"/>
      </w:pPr>
      <w:r>
        <w:rPr>
          <w:i/>
          <w:color w:val="6B7280"/>
          <w:sz w:val="17"/>
        </w:rPr>
        <w:t>Table 12 — Scoring weights. These are a triage heuristic, not a calibrated risk model.</w:t>
      </w:r>
    </w:p>
    <w:p>
      <w:pPr>
        <w:spacing w:before="160" w:after="40"/>
        <w:ind w:left="198" w:right="113"/>
        <w:shd w:val="clear" w:color="auto" w:fill="FEF6E7"/>
        <w:pBdr>
          <w:left w:val="single" w:sz="18" w:space="6" w:color="B45309"/>
        </w:pBdr>
        <w:keepNext/>
      </w:pPr>
      <w:r>
        <w:rPr>
          <w:b/>
          <w:color w:val="7C2D12"/>
          <w:sz w:val="19"/>
        </w:rPr>
        <w:t>Silence is not safety</w:t>
      </w:r>
    </w:p>
    <w:p>
      <w:pPr>
        <w:spacing w:before="0" w:after="200"/>
        <w:ind w:left="198" w:right="113"/>
        <w:shd w:val="clear" w:color="auto" w:fill="FEF6E7"/>
        <w:pBdr>
          <w:left w:val="single" w:sz="18" w:space="6" w:color="B45309"/>
        </w:pBdr>
      </w:pPr>
      <w:r>
        <w:rPr>
          <w:color w:val="432B15"/>
          <w:sz w:val="19"/>
        </w:rPr>
        <w:t>The scorer's most important behaviour is what it does when feeds are missing. Every failed section is appended to the factors list prefixed “UNKNOWN”, the failed section names are returned under missing_feeds, and — critically — a low score built on dead feeds is relabelled from “calm” to “unknown”. A score of zero computed from no data must never read as a calm destination. This was caught and corrected during testing of the scaffold, and it is the kind of defect that a scoring function will reintroduce every time someone extends it.</w:t>
      </w:r>
    </w:p>
    <w:p>
      <w:r>
        <w:rPr>
          <w:i w:val="0"/>
        </w:rPr>
        <w:t>The response carries source: derived, a label reading “DERIVED · computed by heyBro from live feeds — not an official warning”, the full factors list so the model can show its reasoning, and a caveat stating that absence of a signal is not safety. compare_destinations wraps the same scorer across up to eight place names, returns them sorted ascending by score with the top factors for each, and reports anything it could not resolve separately rather than silently dropping it.</w:t>
      </w:r>
    </w:p>
    <w:p>
      <w:pPr>
        <w:pStyle w:val="Heading2"/>
      </w:pPr>
      <w:r>
        <w:t>5.7  Resources and prompts</w:t>
      </w:r>
    </w:p>
    <w:p>
      <w:r>
        <w:rPr>
          <w:i w:val="0"/>
        </w:rPr>
        <w:t>Two resources expose the module's curated reference data as readable context. heybro://advisory-sources returns the government advisory registry together with the per-country alert-link map, so a model can cite the right national authority without guessing a URL — the failure mode this resource prevents is a hallucinated government website, which in this domain is a serious harm. heybro://weather-codes returns the WMO code table, letting a model interpret a raw numeric code it encounters elsewhere.</w:t>
      </w:r>
    </w:p>
    <w:p>
      <w:r>
        <w:rPr>
          <w:i w:val="0"/>
        </w:rPr>
        <w:t>Two prompts encode the workflows the system is for. trip_safety_briefing takes a destination and a window, and walks the model through resolving the place, asking the user to disambiguate when several candidates return, calling the aggregate, then writing the briefing in a fixed order — official alerts first, then active disasters, then current weather, forecast and roads — with provenance on every claim and failed feeds named rather than filled in. evacuation_check is the sharper one: it asks for distance and trend on active disasters, official instruction text quoted verbatim, closures on likely exit routes, the national emergency contact from the resource, and explicit acknowledgement that unconfigured road data means unknown rather than clear.</w:t>
      </w:r>
    </w:p>
    <w:p>
      <w:pPr>
        <w:pStyle w:val="Heading2"/>
      </w:pPr>
      <w:r>
        <w:t>5.8  Transport and deployment</w:t>
      </w:r>
    </w:p>
    <w:p>
      <w:r>
        <w:rPr>
          <w:i w:val="0"/>
        </w:rPr>
        <w:t>The server defaults to stdio transport, which is the right choice for a desktop assistant launching it as a subprocess: no port, no network exposure, and credentials stay in the launching process's environment. Setting HEYBRO_MCP_TRANSPORT to sse switches to HTTP with server-sent events for a shared remote deployment, at which point three concerns that stdio avoids become real — authentication, because the TomTom quota and the providers' goodwill are now shared across callers; per-caller rate limiting, because free providers will block an abusive aggregate; and a shared cache, because the in-process TTL cache does not survive a restart or span replicas. Section 6.4 treats these as roadmap items.</w:t>
      </w:r>
    </w:p>
    <w:p>
      <w:pPr>
        <w:pStyle w:val="Heading2"/>
      </w:pPr>
      <w:r>
        <w:t>5.9  Installing as a plugin</w:t>
      </w:r>
    </w:p>
    <w:p>
      <w:r>
        <w:rPr>
          <w:i w:val="0"/>
        </w:rPr>
        <w:t>For a locally launched server, the configuration is a command, its arguments and its environment. The example file mcp_server/mcp.config.example.json carries the following, which can be pasted into an MCP client's server configuration with the path and contact address adjusted.</w:t>
      </w:r>
    </w:p>
    <w:p>
      <w:pPr>
        <w:spacing w:before="140" w:after="0" w:line="240" w:lineRule="auto"/>
        <w:ind w:left="198" w:right="113"/>
        <w:keepNext/>
        <w:shd w:val="clear" w:color="auto" w:fill="F6F7F9"/>
        <w:pBdr>
          <w:left w:val="single" w:sz="18" w:space="6" w:color="C7D2DE"/>
        </w:pBdr>
      </w:pPr>
      <w:r>
        <w:rPr>
          <w:rFonts w:ascii="Consolas" w:hAnsi="Consolas"/>
          <w:color w:val="1E293B"/>
          <w:sz w:val="17"/>
        </w:rPr>
        <w:t>{</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"mcpServers":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"heybro-travel-intel":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"command": "python",</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"args": ["/absolute/path/to/heyBro/mcp_server/heybro_mcp.py"],</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"env":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"HEYBRO_USER_AGENT": "heyBro/1.0 (you@example.org)",</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"HEYBRO_HTTP_TIMEOUT": "20",</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"TOMTOM_API_KEY":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 xml:space="preserve">  }</w:t>
      </w:r>
    </w:p>
    <w:p>
      <w:pPr>
        <w:spacing w:before="0" w:after="140" w:line="240" w:lineRule="auto"/>
        <w:ind w:left="198" w:right="113"/>
        <w:shd w:val="clear" w:color="auto" w:fill="F6F7F9"/>
        <w:pBdr>
          <w:left w:val="single" w:sz="18" w:space="6" w:color="C7D2DE"/>
        </w:pBdr>
      </w:pPr>
      <w:r>
        <w:rPr>
          <w:rFonts w:ascii="Consolas" w:hAnsi="Consolas"/>
          <w:color w:val="1E293B"/>
          <w:sz w:val="17"/>
        </w:rPr>
        <w:t>}</w:t>
      </w:r>
    </w:p>
    <w:p>
      <w:pPr>
        <w:spacing w:after="200"/>
        <w:ind w:left="198"/>
      </w:pPr>
      <w:r>
        <w:rPr>
          <w:i/>
          <w:color w:val="6B7280"/>
          <w:sz w:val="17"/>
        </w:rPr>
        <w:t>mcp_server/mcp.config.example.json</w:t>
      </w:r>
    </w:p>
    <w:p>
      <w:r>
        <w:rPr>
          <w:i w:val="0"/>
        </w:rPr>
        <w:t>Installation is therefore three steps: install the SDK with pip install -r mcp_server/requirements.txt; set at minimum HEYBRO_USER_AGENT to a real contact address, since the free providers are entitled to know who is calling them; and register the server with the client. Packaging it as a distributable plugin — a versioned bundle carrying the server definition and metadata, installable from a marketplace rather than hand-configured — is a natural next step and is listed in Section 6.4. The version numbers and layout of plugin manifests change, so that work should be done against current client documentation rather than against a manifest transcribed into this document.</w:t>
      </w:r>
    </w:p>
    <w:p>
      <w:pPr>
        <w:pStyle w:val="Heading2"/>
      </w:pPr>
      <w:r>
        <w:t>5.10  Testing the MCP surface</w:t>
      </w:r>
    </w:p>
    <w:p>
      <w:r>
        <w:rPr>
          <w:i w:val="0"/>
        </w:rPr>
        <w:t>The scaffold was exercised with a stand-in for the MCP SDK that records registrations and invokes the underlying functions directly, which allows the whole surface to be tested without the SDK installed and without network access. That verification confirmed that all eleven tools, two resources and two prompts register; that the pure resources and prompts render; that argument validation rejects mismatched coordinate arrays and that find_nearby_places reports its own unavailability when geo_service is absent; that with every provider unreachable each tool returns a structured failure rather than raising; that the aggregate still returns all its section keys with failures recorded under errors; that road incidents report configured:false without a key; and that the risk scorer bands a location as unknown rather than calm when its feeds are missing.</w:t>
      </w:r>
    </w:p>
    <w:p>
      <w:r>
        <w:rPr>
          <w:i w:val="0"/>
        </w:rPr>
        <w:t>The same approach should be committed as a test module. The failure paths matter more than the success paths here, for the same reason the existing provider tests target resilience: a tool that works when everything is up is table stakes, whereas a tool that stays honest when a feed dies is the actual product.</w:t>
      </w:r>
    </w:p>
    <w:p>
      <w:pPr>
        <w:pStyle w:val="Heading2"/>
      </w:pPr>
      <w:r>
        <w:t>5.11  Known limits of the scaffold</w:t>
      </w:r>
    </w:p>
    <w:p>
      <w:r>
        <w:rPr>
          <w:i w:val="0"/>
        </w:rPr>
        <w:t>The server is a working scaffold, not a finished product, and four limits should be recorded. find_nearby_places requires the full repository, because the Overpass mirror logic lives in a module that was not available for review. reverse_geocode falls back to Nominatim when the application's own implementation is absent, which brings that service's usage policy into scope and makes setting a real User-Agent a requirement rather than a courtesy. The fallback HTTP layer caches in process memory with no bound on size, which is acceptable for a single-user stdio process and not for a shared deployment. And the risk weights in Section 5.6 are a considered first guess that has not been validated against outcomes; they should be treated as a triage aid until they have been.</w:t>
      </w:r>
    </w:p>
    <w:p>
      <w:r>
        <w:br w:type="page"/>
      </w:r>
    </w:p>
    <w:p>
      <w:pPr>
        <w:pStyle w:val="Heading1"/>
        <w:pBdr>
          <w:bottom w:val="single" w:sz="8" w:space="6" w:color="C7D2DE"/>
        </w:pBdr>
      </w:pPr>
      <w:r>
        <w:t>6  Future scope</w:t>
      </w:r>
    </w:p>
    <w:p>
      <w:r>
        <w:rPr>
          <w:i w:val="0"/>
        </w:rPr>
        <w:t>This section is a proposal, not a commitment. It is sequenced so that each phase either removes a known correctness defect, widens coverage, or deepens the product — in that order of priority, because a travel-safety tool that is wrong is worse than one that is narrow.</w:t>
      </w:r>
    </w:p>
    <w:p>
      <w:pPr>
        <w:pStyle w:val="Heading2"/>
      </w:pPr>
      <w:r>
        <w:t>6.1  Phase one — correctness and coverage of what exists</w:t>
      </w:r>
    </w:p>
    <w:p>
      <w:r>
        <w:rPr>
          <w:i w:val="0"/>
        </w:rPr>
        <w:t>The first phase addresses defects and gaps identified in the reviewed code. None of it is speculative; each item has a specific line of code behind it.</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trPr>
        <w:tc>
          <w:tcPr>
            <w:tcW w:type="dxa" w:w="3175"/>
            <w:shd w:val="clear" w:color="auto" w:fill="14304A"/>
          </w:tcPr>
          <w:p>
            <w:pPr>
              <w:spacing w:before="60" w:after="60"/>
            </w:pPr>
            <w:r/>
            <w:r>
              <w:rPr>
                <w:b/>
                <w:color w:val="FFFFFF"/>
                <w:sz w:val="17"/>
              </w:rPr>
              <w:t>Item</w:t>
            </w:r>
          </w:p>
        </w:tc>
        <w:tc>
          <w:tcPr>
            <w:tcW w:type="dxa" w:w="4762"/>
            <w:shd w:val="clear" w:color="auto" w:fill="14304A"/>
          </w:tcPr>
          <w:p>
            <w:pPr>
              <w:spacing w:before="60" w:after="60"/>
            </w:pPr>
            <w:r/>
            <w:r>
              <w:rPr>
                <w:b/>
                <w:color w:val="FFFFFF"/>
                <w:sz w:val="17"/>
              </w:rPr>
              <w:t>Rationale</w:t>
            </w:r>
          </w:p>
        </w:tc>
        <w:tc>
          <w:tcPr>
            <w:tcW w:type="dxa" w:w="1474"/>
            <w:shd w:val="clear" w:color="auto" w:fill="14304A"/>
          </w:tcPr>
          <w:p>
            <w:pPr>
              <w:spacing w:before="60" w:after="60"/>
            </w:pPr>
            <w:r/>
            <w:r>
              <w:rPr>
                <w:b/>
                <w:color w:val="FFFFFF"/>
                <w:sz w:val="17"/>
              </w:rPr>
              <w:t>Effort</w:t>
            </w:r>
          </w:p>
        </w:tc>
      </w:tr>
      <w:tr>
        <w:trPr>
          <w:cantSplit/>
        </w:trPr>
        <w:tc>
          <w:tcPr>
            <w:tcW w:type="dxa" w:w="3175"/>
          </w:tcPr>
          <w:p>
            <w:pPr>
              <w:spacing w:before="50" w:after="50" w:line="259" w:lineRule="auto"/>
            </w:pPr>
            <w:r/>
            <w:r>
              <w:rPr>
                <w:sz w:val="17"/>
              </w:rPr>
              <w:t>Scale the TomTom bounding box by cos(latitude)</w:t>
            </w:r>
          </w:p>
        </w:tc>
        <w:tc>
          <w:tcPr>
            <w:tcW w:type="dxa" w:w="4762"/>
          </w:tcPr>
          <w:p>
            <w:pPr>
              <w:spacing w:before="50" w:after="50" w:line="259" w:lineRule="auto"/>
            </w:pPr>
            <w:r/>
            <w:r>
              <w:rPr>
                <w:sz w:val="17"/>
              </w:rPr>
              <w:t>The flat 111 km per degree conversion over-fetches by a factor of 1.7 at 55° N (Section 3.1.7)</w:t>
            </w:r>
          </w:p>
        </w:tc>
        <w:tc>
          <w:tcPr>
            <w:tcW w:type="dxa" w:w="1474"/>
          </w:tcPr>
          <w:p>
            <w:pPr>
              <w:spacing w:before="50" w:after="50" w:line="259" w:lineRule="auto"/>
            </w:pPr>
            <w:r/>
            <w:r>
              <w:rPr>
                <w:sz w:val="17"/>
              </w:rPr>
              <w:t>Hours</w:t>
            </w:r>
          </w:p>
        </w:tc>
      </w:tr>
      <w:tr>
        <w:trPr>
          <w:cantSplit/>
        </w:trPr>
        <w:tc>
          <w:tcPr>
            <w:tcW w:type="dxa" w:w="3175"/>
            <w:shd w:val="clear" w:color="auto" w:fill="F1F5F9"/>
          </w:tcPr>
          <w:p>
            <w:pPr>
              <w:spacing w:before="50" w:after="50" w:line="259" w:lineRule="auto"/>
            </w:pPr>
            <w:r/>
            <w:r>
              <w:rPr>
                <w:sz w:val="17"/>
              </w:rPr>
              <w:t>Replace absolute derived-alert thresholds with location-relative percentiles</w:t>
            </w:r>
          </w:p>
        </w:tc>
        <w:tc>
          <w:tcPr>
            <w:tcW w:type="dxa" w:w="4762"/>
            <w:shd w:val="clear" w:color="auto" w:fill="F1F5F9"/>
          </w:tcPr>
          <w:p>
            <w:pPr>
              <w:spacing w:before="50" w:after="50" w:line="259" w:lineRule="auto"/>
            </w:pPr>
            <w:r/>
            <w:r>
              <w:rPr>
                <w:sz w:val="17"/>
              </w:rPr>
              <w:t>50 mm of rain is routine in Cherrapunji and extraordinary in Jaisalmer (Section 3.1.4)</w:t>
            </w:r>
          </w:p>
        </w:tc>
        <w:tc>
          <w:tcPr>
            <w:tcW w:type="dxa" w:w="1474"/>
            <w:shd w:val="clear" w:color="auto" w:fill="F1F5F9"/>
          </w:tcPr>
          <w:p>
            <w:pPr>
              <w:spacing w:before="50" w:after="50" w:line="259" w:lineRule="auto"/>
            </w:pPr>
            <w:r/>
            <w:r>
              <w:rPr>
                <w:sz w:val="17"/>
              </w:rPr>
              <w:t>Days</w:t>
            </w:r>
          </w:p>
        </w:tc>
      </w:tr>
      <w:tr>
        <w:trPr>
          <w:cantSplit/>
        </w:trPr>
        <w:tc>
          <w:tcPr>
            <w:tcW w:type="dxa" w:w="3175"/>
          </w:tcPr>
          <w:p>
            <w:pPr>
              <w:spacing w:before="50" w:after="50" w:line="259" w:lineRule="auto"/>
            </w:pPr>
            <w:r/>
            <w:r>
              <w:rPr>
                <w:sz w:val="17"/>
              </w:rPr>
              <w:t>Add an India CAP feed ingestion for NDMA SACHET and IMD warnings</w:t>
            </w:r>
          </w:p>
        </w:tc>
        <w:tc>
          <w:tcPr>
            <w:tcW w:type="dxa" w:w="4762"/>
          </w:tcPr>
          <w:p>
            <w:pPr>
              <w:spacing w:before="50" w:after="50" w:line="259" w:lineRule="auto"/>
            </w:pPr>
            <w:r/>
            <w:r>
              <w:rPr>
                <w:sz w:val="17"/>
              </w:rPr>
              <w:t>India is the product's evident primary market yet has no machine-readable alert feed connected; SACHET publishes Common Alerting Protocol data</w:t>
            </w:r>
          </w:p>
        </w:tc>
        <w:tc>
          <w:tcPr>
            <w:tcW w:type="dxa" w:w="1474"/>
          </w:tcPr>
          <w:p>
            <w:pPr>
              <w:spacing w:before="50" w:after="50" w:line="259" w:lineRule="auto"/>
            </w:pPr>
            <w:r/>
            <w:r>
              <w:rPr>
                <w:sz w:val="17"/>
              </w:rPr>
              <w:t>Weeks</w:t>
            </w:r>
          </w:p>
        </w:tc>
      </w:tr>
      <w:tr>
        <w:trPr>
          <w:cantSplit/>
        </w:trPr>
        <w:tc>
          <w:tcPr>
            <w:tcW w:type="dxa" w:w="3175"/>
            <w:shd w:val="clear" w:color="auto" w:fill="F1F5F9"/>
          </w:tcPr>
          <w:p>
            <w:pPr>
              <w:spacing w:before="50" w:after="50" w:line="259" w:lineRule="auto"/>
            </w:pPr>
            <w:r/>
            <w:r>
              <w:rPr>
                <w:sz w:val="17"/>
              </w:rPr>
              <w:t>Extend OFFICIAL_ALERT_LINKS beyond India and Nepal</w:t>
            </w:r>
          </w:p>
        </w:tc>
        <w:tc>
          <w:tcPr>
            <w:tcW w:type="dxa" w:w="4762"/>
            <w:shd w:val="clear" w:color="auto" w:fill="F1F5F9"/>
          </w:tcPr>
          <w:p>
            <w:pPr>
              <w:spacing w:before="50" w:after="50" w:line="259" w:lineRule="auto"/>
            </w:pPr>
            <w:r/>
            <w:r>
              <w:rPr>
                <w:sz w:val="17"/>
              </w:rPr>
              <w:t>The map currently covers two countries; the cost per country is one curated entry</w:t>
            </w:r>
          </w:p>
        </w:tc>
        <w:tc>
          <w:tcPr>
            <w:tcW w:type="dxa" w:w="1474"/>
            <w:shd w:val="clear" w:color="auto" w:fill="F1F5F9"/>
          </w:tcPr>
          <w:p>
            <w:pPr>
              <w:spacing w:before="50" w:after="50" w:line="259" w:lineRule="auto"/>
            </w:pPr>
            <w:r/>
            <w:r>
              <w:rPr>
                <w:sz w:val="17"/>
              </w:rPr>
              <w:t>Hours per country</w:t>
            </w:r>
          </w:p>
        </w:tc>
      </w:tr>
      <w:tr>
        <w:trPr>
          <w:cantSplit/>
        </w:trPr>
        <w:tc>
          <w:tcPr>
            <w:tcW w:type="dxa" w:w="3175"/>
          </w:tcPr>
          <w:p>
            <w:pPr>
              <w:spacing w:before="50" w:after="50" w:line="259" w:lineRule="auto"/>
            </w:pPr>
            <w:r/>
            <w:r>
              <w:rPr>
                <w:sz w:val="17"/>
              </w:rPr>
              <w:t>Persist the HTTP cache outside the process</w:t>
            </w:r>
          </w:p>
        </w:tc>
        <w:tc>
          <w:tcPr>
            <w:tcW w:type="dxa" w:w="4762"/>
          </w:tcPr>
          <w:p>
            <w:pPr>
              <w:spacing w:before="50" w:after="50" w:line="259" w:lineRule="auto"/>
            </w:pPr>
            <w:r/>
            <w:r>
              <w:rPr>
                <w:sz w:val="17"/>
              </w:rPr>
              <w:t>A restart currently discards every cached response, which multiplies load on free providers</w:t>
            </w:r>
          </w:p>
        </w:tc>
        <w:tc>
          <w:tcPr>
            <w:tcW w:type="dxa" w:w="1474"/>
          </w:tcPr>
          <w:p>
            <w:pPr>
              <w:spacing w:before="50" w:after="50" w:line="259" w:lineRule="auto"/>
            </w:pPr>
            <w:r/>
            <w:r>
              <w:rPr>
                <w:sz w:val="17"/>
              </w:rPr>
              <w:t>Days</w:t>
            </w:r>
          </w:p>
        </w:tc>
      </w:tr>
      <w:tr>
        <w:trPr>
          <w:cantSplit/>
        </w:trPr>
        <w:tc>
          <w:tcPr>
            <w:tcW w:type="dxa" w:w="3175"/>
            <w:shd w:val="clear" w:color="auto" w:fill="F1F5F9"/>
          </w:tcPr>
          <w:p>
            <w:pPr>
              <w:spacing w:before="50" w:after="50" w:line="259" w:lineRule="auto"/>
            </w:pPr>
            <w:r/>
            <w:r>
              <w:rPr>
                <w:sz w:val="17"/>
              </w:rPr>
              <w:t>Commit the MCP surface tests described in Section 5.10</w:t>
            </w:r>
          </w:p>
        </w:tc>
        <w:tc>
          <w:tcPr>
            <w:tcW w:type="dxa" w:w="4762"/>
            <w:shd w:val="clear" w:color="auto" w:fill="F1F5F9"/>
          </w:tcPr>
          <w:p>
            <w:pPr>
              <w:spacing w:before="50" w:after="50" w:line="259" w:lineRule="auto"/>
            </w:pPr>
            <w:r/>
            <w:r>
              <w:rPr>
                <w:sz w:val="17"/>
              </w:rPr>
              <w:t>The failure paths are the product; they need regression protection</w:t>
            </w:r>
          </w:p>
        </w:tc>
        <w:tc>
          <w:tcPr>
            <w:tcW w:type="dxa" w:w="1474"/>
            <w:shd w:val="clear" w:color="auto" w:fill="F1F5F9"/>
          </w:tcPr>
          <w:p>
            <w:pPr>
              <w:spacing w:before="50" w:after="50" w:line="259" w:lineRule="auto"/>
            </w:pPr>
            <w:r/>
            <w:r>
              <w:rPr>
                <w:sz w:val="17"/>
              </w:rPr>
              <w:t>Days</w:t>
            </w:r>
          </w:p>
        </w:tc>
      </w:tr>
      <w:tr>
        <w:trPr>
          <w:cantSplit/>
        </w:trPr>
        <w:tc>
          <w:tcPr>
            <w:tcW w:type="dxa" w:w="3175"/>
          </w:tcPr>
          <w:p>
            <w:pPr>
              <w:spacing w:before="50" w:after="50" w:line="259" w:lineRule="auto"/>
            </w:pPr>
            <w:r/>
            <w:r>
              <w:rPr>
                <w:sz w:val="17"/>
              </w:rPr>
              <w:t>Add elevation to the derived-alert logic</w:t>
            </w:r>
          </w:p>
        </w:tc>
        <w:tc>
          <w:tcPr>
            <w:tcW w:type="dxa" w:w="4762"/>
          </w:tcPr>
          <w:p>
            <w:pPr>
              <w:spacing w:before="50" w:after="50" w:line="259" w:lineRule="auto"/>
            </w:pPr>
            <w:r/>
            <w:r>
              <w:rPr>
                <w:sz w:val="17"/>
              </w:rPr>
              <w:t>Elevation is already fetched but unused in risk inference, though altitude drives snow closures and altitude sickness</w:t>
            </w:r>
          </w:p>
        </w:tc>
        <w:tc>
          <w:tcPr>
            <w:tcW w:type="dxa" w:w="1474"/>
          </w:tcPr>
          <w:p>
            <w:pPr>
              <w:spacing w:before="50" w:after="50" w:line="259" w:lineRule="auto"/>
            </w:pPr>
            <w:r/>
            <w:r>
              <w:rPr>
                <w:sz w:val="17"/>
              </w:rPr>
              <w:t>Days</w:t>
            </w:r>
          </w:p>
        </w:tc>
      </w:tr>
    </w:tbl>
    <w:p>
      <w:pPr>
        <w:spacing w:after="0"/>
      </w:pPr>
    </w:p>
    <w:p>
      <w:pPr>
        <w:spacing w:after="240"/>
      </w:pPr>
      <w:r>
        <w:rPr>
          <w:i/>
          <w:color w:val="6B7280"/>
          <w:sz w:val="17"/>
        </w:rPr>
        <w:t>Table 13 — Phase one: correctness and coverage.</w:t>
      </w:r>
    </w:p>
    <w:p>
      <w:pPr>
        <w:pStyle w:val="Heading2"/>
      </w:pPr>
      <w:r>
        <w:t>6.2  Phase two — routes instead of points</w:t>
      </w:r>
    </w:p>
    <w:p>
      <w:r>
        <w:rPr>
          <w:i w:val="0"/>
        </w:rPr>
        <w:t>Every capability in the current system answers about a single coordinate, but travel happens along lines. The natural second phase is to make the route the unit of analysis: sample points along a planned path, evaluate conditions at each with the existing machinery, and report where along the route the risk concentrates and at what hour it does so. The elevation endpoint already accepts batched coordinates, which is exactly the shape a route sampler needs, and the itinerary and planning scripts enumerated in the service worker suggest the product already models trips.</w:t>
      </w:r>
    </w:p>
    <w:p>
      <w:r>
        <w:rPr>
          <w:i w:val="0"/>
        </w:rPr>
        <w:t>Time is the second missing dimension. A forecast flag for Thursday is not actionable unless the system knows the user intends to cross that pass on Thursday afternoon. Joining the itinerary to the forecast window — so that the briefing answers “on the day you are actually there” rather than “at some point this week” — is the single largest available improvement in usefulness per unit of engineering, because both halves already exist and only the join is missing.</w:t>
      </w:r>
    </w:p>
    <w:p>
      <w:r>
        <w:rPr>
          <w:i w:val="0"/>
        </w:rPr>
        <w:t>A third capability belongs to this phase: change detection. The system currently answers when asked. A traveller needs to be told when something they already checked has changed — a new alert for a place on their itinerary, a road closure on a route they plan to drive. That requires storing what was last reported per watched location, diffing on a schedule, and a delivery channel; web push is the obvious one for a progressive web application.</w:t>
      </w:r>
    </w:p>
    <w:p>
      <w:pPr>
        <w:pStyle w:val="Heading2"/>
      </w:pPr>
      <w:r>
        <w:t>6.3  Phase three — provider breadth</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trPr>
        <w:tc>
          <w:tcPr>
            <w:tcW w:type="dxa" w:w="1701"/>
            <w:shd w:val="clear" w:color="auto" w:fill="14304A"/>
          </w:tcPr>
          <w:p>
            <w:pPr>
              <w:spacing w:before="60" w:after="60"/>
            </w:pPr>
            <w:r/>
            <w:r>
              <w:rPr>
                <w:b/>
                <w:color w:val="FFFFFF"/>
                <w:sz w:val="17"/>
              </w:rPr>
              <w:t>Domain</w:t>
            </w:r>
          </w:p>
        </w:tc>
        <w:tc>
          <w:tcPr>
            <w:tcW w:type="dxa" w:w="3515"/>
            <w:shd w:val="clear" w:color="auto" w:fill="14304A"/>
          </w:tcPr>
          <w:p>
            <w:pPr>
              <w:spacing w:before="60" w:after="60"/>
            </w:pPr>
            <w:r/>
            <w:r>
              <w:rPr>
                <w:b/>
                <w:color w:val="FFFFFF"/>
                <w:sz w:val="17"/>
              </w:rPr>
              <w:t>Candidate providers</w:t>
            </w:r>
          </w:p>
        </w:tc>
        <w:tc>
          <w:tcPr>
            <w:tcW w:type="dxa" w:w="4195"/>
            <w:shd w:val="clear" w:color="auto" w:fill="14304A"/>
          </w:tcPr>
          <w:p>
            <w:pPr>
              <w:spacing w:before="60" w:after="60"/>
            </w:pPr>
            <w:r/>
            <w:r>
              <w:rPr>
                <w:b/>
                <w:color w:val="FFFFFF"/>
                <w:sz w:val="17"/>
              </w:rPr>
              <w:t>Adds</w:t>
            </w:r>
          </w:p>
        </w:tc>
      </w:tr>
      <w:tr>
        <w:trPr>
          <w:cantSplit/>
        </w:trPr>
        <w:tc>
          <w:tcPr>
            <w:tcW w:type="dxa" w:w="1701"/>
          </w:tcPr>
          <w:p>
            <w:pPr>
              <w:spacing w:before="50" w:after="50" w:line="259" w:lineRule="auto"/>
            </w:pPr>
            <w:r/>
            <w:r>
              <w:rPr>
                <w:sz w:val="17"/>
              </w:rPr>
              <w:t>Air quality</w:t>
            </w:r>
          </w:p>
        </w:tc>
        <w:tc>
          <w:tcPr>
            <w:tcW w:type="dxa" w:w="3515"/>
          </w:tcPr>
          <w:p>
            <w:pPr>
              <w:spacing w:before="50" w:after="50" w:line="259" w:lineRule="auto"/>
            </w:pPr>
            <w:r/>
            <w:r>
              <w:rPr>
                <w:sz w:val="17"/>
              </w:rPr>
              <w:t>Open-Meteo air-quality API (same provider family, no key)</w:t>
            </w:r>
          </w:p>
        </w:tc>
        <w:tc>
          <w:tcPr>
            <w:tcW w:type="dxa" w:w="4195"/>
          </w:tcPr>
          <w:p>
            <w:pPr>
              <w:spacing w:before="50" w:after="50" w:line="259" w:lineRule="auto"/>
            </w:pPr>
            <w:r/>
            <w:r>
              <w:rPr>
                <w:sz w:val="17"/>
              </w:rPr>
              <w:t>PM2.5 and ozone exposure, which dominates health risk in North Indian winters</w:t>
            </w:r>
          </w:p>
        </w:tc>
      </w:tr>
      <w:tr>
        <w:trPr>
          <w:cantSplit/>
        </w:trPr>
        <w:tc>
          <w:tcPr>
            <w:tcW w:type="dxa" w:w="1701"/>
            <w:shd w:val="clear" w:color="auto" w:fill="F1F5F9"/>
          </w:tcPr>
          <w:p>
            <w:pPr>
              <w:spacing w:before="50" w:after="50" w:line="259" w:lineRule="auto"/>
            </w:pPr>
            <w:r/>
            <w:r>
              <w:rPr>
                <w:sz w:val="17"/>
              </w:rPr>
              <w:t>Seismic</w:t>
            </w:r>
          </w:p>
        </w:tc>
        <w:tc>
          <w:tcPr>
            <w:tcW w:type="dxa" w:w="3515"/>
            <w:shd w:val="clear" w:color="auto" w:fill="F1F5F9"/>
          </w:tcPr>
          <w:p>
            <w:pPr>
              <w:spacing w:before="50" w:after="50" w:line="259" w:lineRule="auto"/>
            </w:pPr>
            <w:r/>
            <w:r>
              <w:rPr>
                <w:sz w:val="17"/>
              </w:rPr>
              <w:t>USGS earthquake feeds</w:t>
            </w:r>
          </w:p>
        </w:tc>
        <w:tc>
          <w:tcPr>
            <w:tcW w:type="dxa" w:w="4195"/>
            <w:shd w:val="clear" w:color="auto" w:fill="F1F5F9"/>
          </w:tcPr>
          <w:p>
            <w:pPr>
              <w:spacing w:before="50" w:after="50" w:line="259" w:lineRule="auto"/>
            </w:pPr>
            <w:r/>
            <w:r>
              <w:rPr>
                <w:sz w:val="17"/>
              </w:rPr>
              <w:t>Near-real-time quake detail finer than GDACS event-level reporting</w:t>
            </w:r>
          </w:p>
        </w:tc>
      </w:tr>
      <w:tr>
        <w:trPr>
          <w:cantSplit/>
        </w:trPr>
        <w:tc>
          <w:tcPr>
            <w:tcW w:type="dxa" w:w="1701"/>
          </w:tcPr>
          <w:p>
            <w:pPr>
              <w:spacing w:before="50" w:after="50" w:line="259" w:lineRule="auto"/>
            </w:pPr>
            <w:r/>
            <w:r>
              <w:rPr>
                <w:sz w:val="17"/>
              </w:rPr>
              <w:t>Wildfire</w:t>
            </w:r>
          </w:p>
        </w:tc>
        <w:tc>
          <w:tcPr>
            <w:tcW w:type="dxa" w:w="3515"/>
          </w:tcPr>
          <w:p>
            <w:pPr>
              <w:spacing w:before="50" w:after="50" w:line="259" w:lineRule="auto"/>
            </w:pPr>
            <w:r/>
            <w:r>
              <w:rPr>
                <w:sz w:val="17"/>
              </w:rPr>
              <w:t>NASA FIRMS active-fire detections</w:t>
            </w:r>
          </w:p>
        </w:tc>
        <w:tc>
          <w:tcPr>
            <w:tcW w:type="dxa" w:w="4195"/>
          </w:tcPr>
          <w:p>
            <w:pPr>
              <w:spacing w:before="50" w:after="50" w:line="259" w:lineRule="auto"/>
            </w:pPr>
            <w:r/>
            <w:r>
              <w:rPr>
                <w:sz w:val="17"/>
              </w:rPr>
              <w:t>Smoke and road-closure risk ahead of a GDACS event being declared</w:t>
            </w:r>
          </w:p>
        </w:tc>
      </w:tr>
      <w:tr>
        <w:trPr>
          <w:cantSplit/>
        </w:trPr>
        <w:tc>
          <w:tcPr>
            <w:tcW w:type="dxa" w:w="1701"/>
            <w:shd w:val="clear" w:color="auto" w:fill="F1F5F9"/>
          </w:tcPr>
          <w:p>
            <w:pPr>
              <w:spacing w:before="50" w:after="50" w:line="259" w:lineRule="auto"/>
            </w:pPr>
            <w:r/>
            <w:r>
              <w:rPr>
                <w:sz w:val="17"/>
              </w:rPr>
              <w:t>Flood</w:t>
            </w:r>
          </w:p>
        </w:tc>
        <w:tc>
          <w:tcPr>
            <w:tcW w:type="dxa" w:w="3515"/>
            <w:shd w:val="clear" w:color="auto" w:fill="F1F5F9"/>
          </w:tcPr>
          <w:p>
            <w:pPr>
              <w:spacing w:before="50" w:after="50" w:line="259" w:lineRule="auto"/>
            </w:pPr>
            <w:r/>
            <w:r>
              <w:rPr>
                <w:sz w:val="17"/>
              </w:rPr>
              <w:t>Copernicus Emergency Management Service, GloFAS river forecasts</w:t>
            </w:r>
          </w:p>
        </w:tc>
        <w:tc>
          <w:tcPr>
            <w:tcW w:type="dxa" w:w="4195"/>
            <w:shd w:val="clear" w:color="auto" w:fill="F1F5F9"/>
          </w:tcPr>
          <w:p>
            <w:pPr>
              <w:spacing w:before="50" w:after="50" w:line="259" w:lineRule="auto"/>
            </w:pPr>
            <w:r/>
            <w:r>
              <w:rPr>
                <w:sz w:val="17"/>
              </w:rPr>
              <w:t>Catchment-level flood forecasting rather than rainfall proxies</w:t>
            </w:r>
          </w:p>
        </w:tc>
      </w:tr>
      <w:tr>
        <w:trPr>
          <w:cantSplit/>
        </w:trPr>
        <w:tc>
          <w:tcPr>
            <w:tcW w:type="dxa" w:w="1701"/>
          </w:tcPr>
          <w:p>
            <w:pPr>
              <w:spacing w:before="50" w:after="50" w:line="259" w:lineRule="auto"/>
            </w:pPr>
            <w:r/>
            <w:r>
              <w:rPr>
                <w:sz w:val="17"/>
              </w:rPr>
              <w:t>Aviation and rail</w:t>
            </w:r>
          </w:p>
        </w:tc>
        <w:tc>
          <w:tcPr>
            <w:tcW w:type="dxa" w:w="3515"/>
          </w:tcPr>
          <w:p>
            <w:pPr>
              <w:spacing w:before="50" w:after="50" w:line="259" w:lineRule="auto"/>
            </w:pPr>
            <w:r/>
            <w:r>
              <w:rPr>
                <w:sz w:val="17"/>
              </w:rPr>
              <w:t>Open flight-status and national rail APIs where available</w:t>
            </w:r>
          </w:p>
        </w:tc>
        <w:tc>
          <w:tcPr>
            <w:tcW w:type="dxa" w:w="4195"/>
          </w:tcPr>
          <w:p>
            <w:pPr>
              <w:spacing w:before="50" w:after="50" w:line="259" w:lineRule="auto"/>
            </w:pPr>
            <w:r/>
            <w:r>
              <w:rPr>
                <w:sz w:val="17"/>
              </w:rPr>
              <w:t>Disruption that follows a hazard, which is what actually strands travellers</w:t>
            </w:r>
          </w:p>
        </w:tc>
      </w:tr>
      <w:tr>
        <w:trPr>
          <w:cantSplit/>
        </w:trPr>
        <w:tc>
          <w:tcPr>
            <w:tcW w:type="dxa" w:w="1701"/>
            <w:shd w:val="clear" w:color="auto" w:fill="F1F5F9"/>
          </w:tcPr>
          <w:p>
            <w:pPr>
              <w:spacing w:before="50" w:after="50" w:line="259" w:lineRule="auto"/>
            </w:pPr>
            <w:r/>
            <w:r>
              <w:rPr>
                <w:sz w:val="17"/>
              </w:rPr>
              <w:t>Health</w:t>
            </w:r>
          </w:p>
        </w:tc>
        <w:tc>
          <w:tcPr>
            <w:tcW w:type="dxa" w:w="3515"/>
            <w:shd w:val="clear" w:color="auto" w:fill="F1F5F9"/>
          </w:tcPr>
          <w:p>
            <w:pPr>
              <w:spacing w:before="50" w:after="50" w:line="259" w:lineRule="auto"/>
            </w:pPr>
            <w:r/>
            <w:r>
              <w:rPr>
                <w:sz w:val="17"/>
              </w:rPr>
              <w:t>WHO outbreak news, national health ministry feeds</w:t>
            </w:r>
          </w:p>
        </w:tc>
        <w:tc>
          <w:tcPr>
            <w:tcW w:type="dxa" w:w="4195"/>
            <w:shd w:val="clear" w:color="auto" w:fill="F1F5F9"/>
          </w:tcPr>
          <w:p>
            <w:pPr>
              <w:spacing w:before="50" w:after="50" w:line="259" w:lineRule="auto"/>
            </w:pPr>
            <w:r/>
            <w:r>
              <w:rPr>
                <w:sz w:val="17"/>
              </w:rPr>
              <w:t>Outbreak and vaccination requirements, a recurring travel question</w:t>
            </w:r>
          </w:p>
        </w:tc>
      </w:tr>
      <w:tr>
        <w:trPr>
          <w:cantSplit/>
        </w:trPr>
        <w:tc>
          <w:tcPr>
            <w:tcW w:type="dxa" w:w="1701"/>
          </w:tcPr>
          <w:p>
            <w:pPr>
              <w:spacing w:before="50" w:after="50" w:line="259" w:lineRule="auto"/>
            </w:pPr>
            <w:r/>
            <w:r>
              <w:rPr>
                <w:sz w:val="17"/>
              </w:rPr>
              <w:t>Civil unrest</w:t>
            </w:r>
          </w:p>
        </w:tc>
        <w:tc>
          <w:tcPr>
            <w:tcW w:type="dxa" w:w="3515"/>
          </w:tcPr>
          <w:p>
            <w:pPr>
              <w:spacing w:before="50" w:after="50" w:line="259" w:lineRule="auto"/>
            </w:pPr>
            <w:r/>
            <w:r>
              <w:rPr>
                <w:sz w:val="17"/>
              </w:rPr>
              <w:t>Government advisory feeds where machine-readable</w:t>
            </w:r>
          </w:p>
        </w:tc>
        <w:tc>
          <w:tcPr>
            <w:tcW w:type="dxa" w:w="4195"/>
          </w:tcPr>
          <w:p>
            <w:pPr>
              <w:spacing w:before="50" w:after="50" w:line="259" w:lineRule="auto"/>
            </w:pPr>
            <w:r/>
            <w:r>
              <w:rPr>
                <w:sz w:val="17"/>
              </w:rPr>
              <w:t>The one domain where curated official links should stay the answer, for the reasons in Section 8</w:t>
            </w:r>
          </w:p>
        </w:tc>
      </w:tr>
    </w:tbl>
    <w:p>
      <w:pPr>
        <w:spacing w:after="0"/>
      </w:pPr>
    </w:p>
    <w:p>
      <w:pPr>
        <w:spacing w:after="240"/>
      </w:pPr>
      <w:r>
        <w:rPr>
          <w:i/>
          <w:color w:val="6B7280"/>
          <w:sz w:val="17"/>
        </w:rPr>
        <w:t>Table 14 — Candidate provider expansion, roughly in order of value per unit of effort.</w:t>
      </w:r>
    </w:p>
    <w:p>
      <w:r>
        <w:rPr>
          <w:i w:val="0"/>
        </w:rPr>
        <w:t>The architectural precondition for all of this is a provider registry: a declarative description of each provider's capability, coverage area, cache policy and provenance class, so that adding a source is a configuration change rather than a new branch in the aggregate function. The aggregate's current explicit tuple of three sections will not scale to fifteen, and the discipline that keeps the system honest — one provenance label per source, failures isolated per section — is easier to enforce in a registry than in a growing function body.</w:t>
      </w:r>
    </w:p>
    <w:p>
      <w:pPr>
        <w:pStyle w:val="Heading2"/>
      </w:pPr>
      <w:r>
        <w:t>6.4  Phase four — the MCP surface as a product</w:t>
      </w:r>
    </w:p>
    <w:tbl>
      <w:tblPr>
        <w:tblStyle w:val="TableGrid"/>
        <w:tblW w:type="auto" w:w="0"/>
        <w:jc w:val="left"/>
        <w:tblLayout w:type="fixed"/>
        <w:tblLook w:firstColumn="1" w:firstRow="1" w:lastColumn="0" w:lastRow="0" w:noHBand="0" w:noVBand="1" w:val="04A0"/>
      </w:tblPr>
      <w:tblGrid>
        <w:gridCol w:w="4706"/>
        <w:gridCol w:w="4706"/>
      </w:tblGrid>
      <w:tr>
        <w:trPr>
          <w:tblHeader/>
        </w:trPr>
        <w:tc>
          <w:tcPr>
            <w:tcW w:type="dxa" w:w="3515"/>
            <w:shd w:val="clear" w:color="auto" w:fill="14304A"/>
          </w:tcPr>
          <w:p>
            <w:pPr>
              <w:spacing w:before="60" w:after="60"/>
            </w:pPr>
            <w:r/>
            <w:r>
              <w:rPr>
                <w:b/>
                <w:color w:val="FFFFFF"/>
                <w:sz w:val="17"/>
              </w:rPr>
              <w:t>Item</w:t>
            </w:r>
          </w:p>
        </w:tc>
        <w:tc>
          <w:tcPr>
            <w:tcW w:type="dxa" w:w="5896"/>
            <w:shd w:val="clear" w:color="auto" w:fill="14304A"/>
          </w:tcPr>
          <w:p>
            <w:pPr>
              <w:spacing w:before="60" w:after="60"/>
            </w:pPr>
            <w:r/>
            <w:r>
              <w:rPr>
                <w:b/>
                <w:color w:val="FFFFFF"/>
                <w:sz w:val="17"/>
              </w:rPr>
              <w:t>Why</w:t>
            </w:r>
          </w:p>
        </w:tc>
      </w:tr>
      <w:tr>
        <w:trPr>
          <w:cantSplit/>
        </w:trPr>
        <w:tc>
          <w:tcPr>
            <w:tcW w:type="dxa" w:w="3515"/>
          </w:tcPr>
          <w:p>
            <w:pPr>
              <w:spacing w:before="50" w:after="50" w:line="259" w:lineRule="auto"/>
            </w:pPr>
            <w:r/>
            <w:r>
              <w:rPr>
                <w:sz w:val="17"/>
              </w:rPr>
              <w:t>Package the server as a distributable, versioned plugin</w:t>
            </w:r>
          </w:p>
        </w:tc>
        <w:tc>
          <w:tcPr>
            <w:tcW w:type="dxa" w:w="5896"/>
          </w:tcPr>
          <w:p>
            <w:pPr>
              <w:spacing w:before="50" w:after="50" w:line="259" w:lineRule="auto"/>
            </w:pPr>
            <w:r/>
            <w:r>
              <w:rPr>
                <w:sz w:val="17"/>
              </w:rPr>
              <w:t>Hand-editing a JSON configuration file is a barrier; a marketplace bundle is not</w:t>
            </w:r>
          </w:p>
        </w:tc>
      </w:tr>
      <w:tr>
        <w:trPr>
          <w:cantSplit/>
        </w:trPr>
        <w:tc>
          <w:tcPr>
            <w:tcW w:type="dxa" w:w="3515"/>
            <w:shd w:val="clear" w:color="auto" w:fill="F1F5F9"/>
          </w:tcPr>
          <w:p>
            <w:pPr>
              <w:spacing w:before="50" w:after="50" w:line="259" w:lineRule="auto"/>
            </w:pPr>
            <w:r/>
            <w:r>
              <w:rPr>
                <w:sz w:val="17"/>
              </w:rPr>
              <w:t>Authenticated remote deployment over HTTP and server-sent events</w:t>
            </w:r>
          </w:p>
        </w:tc>
        <w:tc>
          <w:tcPr>
            <w:tcW w:type="dxa" w:w="5896"/>
            <w:shd w:val="clear" w:color="auto" w:fill="F1F5F9"/>
          </w:tcPr>
          <w:p>
            <w:pPr>
              <w:spacing w:before="50" w:after="50" w:line="259" w:lineRule="auto"/>
            </w:pPr>
            <w:r/>
            <w:r>
              <w:rPr>
                <w:sz w:val="17"/>
              </w:rPr>
              <w:t>A shared server needs per-caller identity before it needs anything else, because the provider quotas are shared (Section 5.8)</w:t>
            </w:r>
          </w:p>
        </w:tc>
      </w:tr>
      <w:tr>
        <w:trPr>
          <w:cantSplit/>
        </w:trPr>
        <w:tc>
          <w:tcPr>
            <w:tcW w:type="dxa" w:w="3515"/>
          </w:tcPr>
          <w:p>
            <w:pPr>
              <w:spacing w:before="50" w:after="50" w:line="259" w:lineRule="auto"/>
            </w:pPr>
            <w:r/>
            <w:r>
              <w:rPr>
                <w:sz w:val="17"/>
              </w:rPr>
              <w:t>Per-caller rate limiting and a shared cache</w:t>
            </w:r>
          </w:p>
        </w:tc>
        <w:tc>
          <w:tcPr>
            <w:tcW w:type="dxa" w:w="5896"/>
          </w:tcPr>
          <w:p>
            <w:pPr>
              <w:spacing w:before="50" w:after="50" w:line="259" w:lineRule="auto"/>
            </w:pPr>
            <w:r/>
            <w:r>
              <w:rPr>
                <w:sz w:val="17"/>
              </w:rPr>
              <w:t>Free providers will block an abusive aggregate, and the in-process cache neither survives restarts nor spans replicas</w:t>
            </w:r>
          </w:p>
        </w:tc>
      </w:tr>
      <w:tr>
        <w:trPr>
          <w:cantSplit/>
        </w:trPr>
        <w:tc>
          <w:tcPr>
            <w:tcW w:type="dxa" w:w="3515"/>
            <w:shd w:val="clear" w:color="auto" w:fill="F1F5F9"/>
          </w:tcPr>
          <w:p>
            <w:pPr>
              <w:spacing w:before="50" w:after="50" w:line="259" w:lineRule="auto"/>
            </w:pPr>
            <w:r/>
            <w:r>
              <w:rPr>
                <w:sz w:val="17"/>
              </w:rPr>
              <w:t>Structured output schemas on every tool</w:t>
            </w:r>
          </w:p>
        </w:tc>
        <w:tc>
          <w:tcPr>
            <w:tcW w:type="dxa" w:w="5896"/>
            <w:shd w:val="clear" w:color="auto" w:fill="F1F5F9"/>
          </w:tcPr>
          <w:p>
            <w:pPr>
              <w:spacing w:before="50" w:after="50" w:line="259" w:lineRule="auto"/>
            </w:pPr>
            <w:r/>
            <w:r>
              <w:rPr>
                <w:sz w:val="17"/>
              </w:rPr>
              <w:t>Declared result schemas let a client validate and render results rather than re-parsing prose</w:t>
            </w:r>
          </w:p>
        </w:tc>
      </w:tr>
      <w:tr>
        <w:trPr>
          <w:cantSplit/>
        </w:trPr>
        <w:tc>
          <w:tcPr>
            <w:tcW w:type="dxa" w:w="3515"/>
          </w:tcPr>
          <w:p>
            <w:pPr>
              <w:spacing w:before="50" w:after="50" w:line="259" w:lineRule="auto"/>
            </w:pPr>
            <w:r/>
            <w:r>
              <w:rPr>
                <w:sz w:val="17"/>
              </w:rPr>
              <w:t>Route and itinerary tools, once Phase two lands</w:t>
            </w:r>
          </w:p>
        </w:tc>
        <w:tc>
          <w:tcPr>
            <w:tcW w:type="dxa" w:w="5896"/>
          </w:tcPr>
          <w:p>
            <w:pPr>
              <w:spacing w:before="50" w:after="50" w:line="259" w:lineRule="auto"/>
            </w:pPr>
            <w:r/>
            <w:r>
              <w:rPr>
                <w:sz w:val="17"/>
              </w:rPr>
              <w:t>assess_route_risk and check_itinerary are the conversational forms of the Phase two capabilities</w:t>
            </w:r>
          </w:p>
        </w:tc>
      </w:tr>
      <w:tr>
        <w:trPr>
          <w:cantSplit/>
        </w:trPr>
        <w:tc>
          <w:tcPr>
            <w:tcW w:type="dxa" w:w="3515"/>
            <w:shd w:val="clear" w:color="auto" w:fill="F1F5F9"/>
          </w:tcPr>
          <w:p>
            <w:pPr>
              <w:spacing w:before="50" w:after="50" w:line="259" w:lineRule="auto"/>
            </w:pPr>
            <w:r/>
            <w:r>
              <w:rPr>
                <w:sz w:val="17"/>
              </w:rPr>
              <w:t>Subscription tools backed by change detection</w:t>
            </w:r>
          </w:p>
        </w:tc>
        <w:tc>
          <w:tcPr>
            <w:tcW w:type="dxa" w:w="5896"/>
            <w:shd w:val="clear" w:color="auto" w:fill="F1F5F9"/>
          </w:tcPr>
          <w:p>
            <w:pPr>
              <w:spacing w:before="50" w:after="50" w:line="259" w:lineRule="auto"/>
            </w:pPr>
            <w:r/>
            <w:r>
              <w:rPr>
                <w:sz w:val="17"/>
              </w:rPr>
              <w:t>watch_location and list_watches turn a question-answering server into a monitoring one</w:t>
            </w:r>
          </w:p>
        </w:tc>
      </w:tr>
      <w:tr>
        <w:trPr>
          <w:cantSplit/>
        </w:trPr>
        <w:tc>
          <w:tcPr>
            <w:tcW w:type="dxa" w:w="3515"/>
          </w:tcPr>
          <w:p>
            <w:pPr>
              <w:spacing w:before="50" w:after="50" w:line="259" w:lineRule="auto"/>
            </w:pPr>
            <w:r/>
            <w:r>
              <w:rPr>
                <w:sz w:val="17"/>
              </w:rPr>
              <w:t>Calibrate the risk weights against recorded outcomes</w:t>
            </w:r>
          </w:p>
        </w:tc>
        <w:tc>
          <w:tcPr>
            <w:tcW w:type="dxa" w:w="5896"/>
          </w:tcPr>
          <w:p>
            <w:pPr>
              <w:spacing w:before="50" w:after="50" w:line="259" w:lineRule="auto"/>
            </w:pPr>
            <w:r/>
            <w:r>
              <w:rPr>
                <w:sz w:val="17"/>
              </w:rPr>
              <w:t>Section 5.6's weights are a first guess; they should earn their numbers</w:t>
            </w:r>
          </w:p>
        </w:tc>
      </w:tr>
    </w:tbl>
    <w:p>
      <w:pPr>
        <w:spacing w:after="0"/>
      </w:pPr>
    </w:p>
    <w:p>
      <w:pPr>
        <w:spacing w:after="240"/>
      </w:pPr>
      <w:r>
        <w:rPr>
          <w:i/>
          <w:color w:val="6B7280"/>
          <w:sz w:val="17"/>
        </w:rPr>
        <w:t>Table 15 — MCP-specific roadmap.</w:t>
      </w:r>
    </w:p>
    <w:p>
      <w:pPr>
        <w:pStyle w:val="Heading2"/>
      </w:pPr>
      <w:r>
        <w:t>6.5  Longer-horizon opportunities</w:t>
      </w:r>
    </w:p>
    <w:p>
      <w:r>
        <w:rPr>
          <w:i w:val="0"/>
        </w:rPr>
        <w:t>Three directions are worth naming without scheduling. The first is on-device inference: the derived-alert logic is simple arithmetic and could run entirely in the service worker against cached forecast data, so that threshold flags remain available with no connectivity at all — a meaningful gain for the product's core offline promise. The second is crowd-sourced ground truth: a traveller standing at a closed bridge knows something no feed knows, and capturing that is high in value and high in abuse potential, so it would need provenance treatment at least as careful as the existing four classes, with reports labelled unverified and never promoted to the authority of a government alert. The third is institutional use — tour operators, school trips, field research teams — which is a different product with different obligations, including audit trails and service guarantees that the current free-provider architecture cannot support. It is listed as a direction, not a plan.</w:t>
      </w:r>
    </w:p>
    <w:p>
      <w:r>
        <w:br w:type="page"/>
      </w:r>
    </w:p>
    <w:p>
      <w:pPr>
        <w:pStyle w:val="Heading1"/>
        <w:pBdr>
          <w:bottom w:val="single" w:sz="8" w:space="6" w:color="C7D2DE"/>
        </w:pBdr>
      </w:pPr>
      <w:r>
        <w:t>7  Goals and success metrics</w:t>
      </w:r>
    </w:p>
    <w:p>
      <w:r>
        <w:rPr>
          <w:i w:val="0"/>
        </w:rPr>
        <w:t>Goals are stated with the metric that would demonstrate them, because a goal without a measurement is a sentiment. The targets are proposals for discussion, not baselines measured from a running system.</w:t>
      </w:r>
    </w:p>
    <w:p>
      <w:pPr>
        <w:pStyle w:val="Heading2"/>
      </w:pPr>
      <w:r>
        <w:t>7.1  Product goals</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trPr>
        <w:tc>
          <w:tcPr>
            <w:tcW w:type="dxa" w:w="3402"/>
            <w:shd w:val="clear" w:color="auto" w:fill="14304A"/>
          </w:tcPr>
          <w:p>
            <w:pPr>
              <w:spacing w:before="60" w:after="60"/>
            </w:pPr>
            <w:r/>
            <w:r>
              <w:rPr>
                <w:b/>
                <w:color w:val="FFFFFF"/>
                <w:sz w:val="17"/>
              </w:rPr>
              <w:t>Goal</w:t>
            </w:r>
          </w:p>
        </w:tc>
        <w:tc>
          <w:tcPr>
            <w:tcW w:type="dxa" w:w="3742"/>
            <w:shd w:val="clear" w:color="auto" w:fill="14304A"/>
          </w:tcPr>
          <w:p>
            <w:pPr>
              <w:spacing w:before="60" w:after="60"/>
            </w:pPr>
            <w:r/>
            <w:r>
              <w:rPr>
                <w:b/>
                <w:color w:val="FFFFFF"/>
                <w:sz w:val="17"/>
              </w:rPr>
              <w:t>Metric</w:t>
            </w:r>
          </w:p>
        </w:tc>
        <w:tc>
          <w:tcPr>
            <w:tcW w:type="dxa" w:w="2268"/>
            <w:shd w:val="clear" w:color="auto" w:fill="14304A"/>
          </w:tcPr>
          <w:p>
            <w:pPr>
              <w:spacing w:before="60" w:after="60"/>
            </w:pPr>
            <w:r/>
            <w:r>
              <w:rPr>
                <w:b/>
                <w:color w:val="FFFFFF"/>
                <w:sz w:val="17"/>
              </w:rPr>
              <w:t>Target</w:t>
            </w:r>
          </w:p>
        </w:tc>
      </w:tr>
      <w:tr>
        <w:trPr>
          <w:cantSplit/>
        </w:trPr>
        <w:tc>
          <w:tcPr>
            <w:tcW w:type="dxa" w:w="3402"/>
          </w:tcPr>
          <w:p>
            <w:pPr>
              <w:spacing w:before="50" w:after="50" w:line="259" w:lineRule="auto"/>
            </w:pPr>
            <w:r/>
            <w:r>
              <w:rPr>
                <w:sz w:val="17"/>
              </w:rPr>
              <w:t>A traveller gets a complete, honest briefing for any coordinate on Earth</w:t>
            </w:r>
          </w:p>
        </w:tc>
        <w:tc>
          <w:tcPr>
            <w:tcW w:type="dxa" w:w="3742"/>
          </w:tcPr>
          <w:p>
            <w:pPr>
              <w:spacing w:before="50" w:after="50" w:line="259" w:lineRule="auto"/>
            </w:pPr>
            <w:r/>
            <w:r>
              <w:rPr>
                <w:sz w:val="17"/>
              </w:rPr>
              <w:t>Share of queried coordinates returning at least weather and disaster sections</w:t>
            </w:r>
          </w:p>
        </w:tc>
        <w:tc>
          <w:tcPr>
            <w:tcW w:type="dxa" w:w="2268"/>
          </w:tcPr>
          <w:p>
            <w:pPr>
              <w:spacing w:before="50" w:after="50" w:line="259" w:lineRule="auto"/>
            </w:pPr>
            <w:r/>
            <w:r>
              <w:rPr>
                <w:sz w:val="17"/>
              </w:rPr>
              <w:t>Above 99%</w:t>
            </w:r>
          </w:p>
        </w:tc>
      </w:tr>
      <w:tr>
        <w:trPr>
          <w:cantSplit/>
        </w:trPr>
        <w:tc>
          <w:tcPr>
            <w:tcW w:type="dxa" w:w="3402"/>
            <w:shd w:val="clear" w:color="auto" w:fill="F1F5F9"/>
          </w:tcPr>
          <w:p>
            <w:pPr>
              <w:spacing w:before="50" w:after="50" w:line="259" w:lineRule="auto"/>
            </w:pPr>
            <w:r/>
            <w:r>
              <w:rPr>
                <w:sz w:val="17"/>
              </w:rPr>
              <w:t>Official warnings reach the user where a feed exists</w:t>
            </w:r>
          </w:p>
        </w:tc>
        <w:tc>
          <w:tcPr>
            <w:tcW w:type="dxa" w:w="3742"/>
            <w:shd w:val="clear" w:color="auto" w:fill="F1F5F9"/>
          </w:tcPr>
          <w:p>
            <w:pPr>
              <w:spacing w:before="50" w:after="50" w:line="259" w:lineRule="auto"/>
            </w:pPr>
            <w:r/>
            <w:r>
              <w:rPr>
                <w:sz w:val="17"/>
              </w:rPr>
              <w:t>Countries with a machine-readable official alert feed connected</w:t>
            </w:r>
          </w:p>
        </w:tc>
        <w:tc>
          <w:tcPr>
            <w:tcW w:type="dxa" w:w="2268"/>
            <w:shd w:val="clear" w:color="auto" w:fill="F1F5F9"/>
          </w:tcPr>
          <w:p>
            <w:pPr>
              <w:spacing w:before="50" w:after="50" w:line="259" w:lineRule="auto"/>
            </w:pPr>
            <w:r/>
            <w:r>
              <w:rPr>
                <w:sz w:val="17"/>
              </w:rPr>
              <w:t>From 1 to 10 within a year</w:t>
            </w:r>
          </w:p>
        </w:tc>
      </w:tr>
      <w:tr>
        <w:trPr>
          <w:cantSplit/>
        </w:trPr>
        <w:tc>
          <w:tcPr>
            <w:tcW w:type="dxa" w:w="3402"/>
          </w:tcPr>
          <w:p>
            <w:pPr>
              <w:spacing w:before="50" w:after="50" w:line="259" w:lineRule="auto"/>
            </w:pPr>
            <w:r/>
            <w:r>
              <w:rPr>
                <w:sz w:val="17"/>
              </w:rPr>
              <w:t>The product is usable with no connectivity</w:t>
            </w:r>
          </w:p>
        </w:tc>
        <w:tc>
          <w:tcPr>
            <w:tcW w:type="dxa" w:w="3742"/>
          </w:tcPr>
          <w:p>
            <w:pPr>
              <w:spacing w:before="50" w:after="50" w:line="259" w:lineRule="auto"/>
            </w:pPr>
            <w:r/>
            <w:r>
              <w:rPr>
                <w:sz w:val="17"/>
              </w:rPr>
              <w:t>Share of sessions beginning offline that render a labelled cached briefing</w:t>
            </w:r>
          </w:p>
        </w:tc>
        <w:tc>
          <w:tcPr>
            <w:tcW w:type="dxa" w:w="2268"/>
          </w:tcPr>
          <w:p>
            <w:pPr>
              <w:spacing w:before="50" w:after="50" w:line="259" w:lineRule="auto"/>
            </w:pPr>
            <w:r/>
            <w:r>
              <w:rPr>
                <w:sz w:val="17"/>
              </w:rPr>
              <w:t>Above 95%</w:t>
            </w:r>
          </w:p>
        </w:tc>
      </w:tr>
      <w:tr>
        <w:trPr>
          <w:cantSplit/>
        </w:trPr>
        <w:tc>
          <w:tcPr>
            <w:tcW w:type="dxa" w:w="3402"/>
            <w:shd w:val="clear" w:color="auto" w:fill="F1F5F9"/>
          </w:tcPr>
          <w:p>
            <w:pPr>
              <w:spacing w:before="50" w:after="50" w:line="259" w:lineRule="auto"/>
            </w:pPr>
            <w:r/>
            <w:r>
              <w:rPr>
                <w:sz w:val="17"/>
              </w:rPr>
              <w:t>Users are never misled about authority</w:t>
            </w:r>
          </w:p>
        </w:tc>
        <w:tc>
          <w:tcPr>
            <w:tcW w:type="dxa" w:w="3742"/>
            <w:shd w:val="clear" w:color="auto" w:fill="F1F5F9"/>
          </w:tcPr>
          <w:p>
            <w:pPr>
              <w:spacing w:before="50" w:after="50" w:line="259" w:lineRule="auto"/>
            </w:pPr>
            <w:r/>
            <w:r>
              <w:rPr>
                <w:sz w:val="17"/>
              </w:rPr>
              <w:t>Share of rendered claims carrying a provenance badge</w:t>
            </w:r>
          </w:p>
        </w:tc>
        <w:tc>
          <w:tcPr>
            <w:tcW w:type="dxa" w:w="2268"/>
            <w:shd w:val="clear" w:color="auto" w:fill="F1F5F9"/>
          </w:tcPr>
          <w:p>
            <w:pPr>
              <w:spacing w:before="50" w:after="50" w:line="259" w:lineRule="auto"/>
            </w:pPr>
            <w:r/>
            <w:r>
              <w:rPr>
                <w:sz w:val="17"/>
              </w:rPr>
              <w:t>100%, enforced by test</w:t>
            </w:r>
          </w:p>
        </w:tc>
      </w:tr>
      <w:tr>
        <w:trPr>
          <w:cantSplit/>
        </w:trPr>
        <w:tc>
          <w:tcPr>
            <w:tcW w:type="dxa" w:w="3402"/>
          </w:tcPr>
          <w:p>
            <w:pPr>
              <w:spacing w:before="50" w:after="50" w:line="259" w:lineRule="auto"/>
            </w:pPr>
            <w:r/>
            <w:r>
              <w:rPr>
                <w:sz w:val="17"/>
              </w:rPr>
              <w:t>Absence of data is visibly distinct from absence of risk</w:t>
            </w:r>
          </w:p>
        </w:tc>
        <w:tc>
          <w:tcPr>
            <w:tcW w:type="dxa" w:w="3742"/>
          </w:tcPr>
          <w:p>
            <w:pPr>
              <w:spacing w:before="50" w:after="50" w:line="259" w:lineRule="auto"/>
            </w:pPr>
            <w:r/>
            <w:r>
              <w:rPr>
                <w:sz w:val="17"/>
              </w:rPr>
              <w:t>Share of not-connected sections offering an official alternative link</w:t>
            </w:r>
          </w:p>
        </w:tc>
        <w:tc>
          <w:tcPr>
            <w:tcW w:type="dxa" w:w="2268"/>
          </w:tcPr>
          <w:p>
            <w:pPr>
              <w:spacing w:before="50" w:after="50" w:line="259" w:lineRule="auto"/>
            </w:pPr>
            <w:r/>
            <w:r>
              <w:rPr>
                <w:sz w:val="17"/>
              </w:rPr>
              <w:t>100%</w:t>
            </w:r>
          </w:p>
        </w:tc>
      </w:tr>
    </w:tbl>
    <w:p>
      <w:pPr>
        <w:spacing w:after="0"/>
      </w:pPr>
    </w:p>
    <w:p>
      <w:pPr>
        <w:spacing w:after="240"/>
      </w:pPr>
      <w:r>
        <w:rPr>
          <w:i/>
          <w:color w:val="6B7280"/>
          <w:sz w:val="17"/>
        </w:rPr>
        <w:t>Table 16 — Product goals.</w:t>
      </w:r>
    </w:p>
    <w:p>
      <w:pPr>
        <w:pStyle w:val="Heading2"/>
      </w:pPr>
      <w:r>
        <w:t>7.2  Engineering goals</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trPr>
        <w:tc>
          <w:tcPr>
            <w:tcW w:type="dxa" w:w="3402"/>
            <w:shd w:val="clear" w:color="auto" w:fill="14304A"/>
          </w:tcPr>
          <w:p>
            <w:pPr>
              <w:spacing w:before="60" w:after="60"/>
            </w:pPr>
            <w:r/>
            <w:r>
              <w:rPr>
                <w:b/>
                <w:color w:val="FFFFFF"/>
                <w:sz w:val="17"/>
              </w:rPr>
              <w:t>Goal</w:t>
            </w:r>
          </w:p>
        </w:tc>
        <w:tc>
          <w:tcPr>
            <w:tcW w:type="dxa" w:w="3742"/>
            <w:shd w:val="clear" w:color="auto" w:fill="14304A"/>
          </w:tcPr>
          <w:p>
            <w:pPr>
              <w:spacing w:before="60" w:after="60"/>
            </w:pPr>
            <w:r/>
            <w:r>
              <w:rPr>
                <w:b/>
                <w:color w:val="FFFFFF"/>
                <w:sz w:val="17"/>
              </w:rPr>
              <w:t>Metric</w:t>
            </w:r>
          </w:p>
        </w:tc>
        <w:tc>
          <w:tcPr>
            <w:tcW w:type="dxa" w:w="2268"/>
            <w:shd w:val="clear" w:color="auto" w:fill="14304A"/>
          </w:tcPr>
          <w:p>
            <w:pPr>
              <w:spacing w:before="60" w:after="60"/>
            </w:pPr>
            <w:r/>
            <w:r>
              <w:rPr>
                <w:b/>
                <w:color w:val="FFFFFF"/>
                <w:sz w:val="17"/>
              </w:rPr>
              <w:t>Target</w:t>
            </w:r>
          </w:p>
        </w:tc>
      </w:tr>
      <w:tr>
        <w:trPr>
          <w:cantSplit/>
        </w:trPr>
        <w:tc>
          <w:tcPr>
            <w:tcW w:type="dxa" w:w="3402"/>
          </w:tcPr>
          <w:p>
            <w:pPr>
              <w:spacing w:before="50" w:after="50" w:line="259" w:lineRule="auto"/>
            </w:pPr>
            <w:r/>
            <w:r>
              <w:rPr>
                <w:sz w:val="17"/>
              </w:rPr>
              <w:t>No single provider failure degrades more than its own section</w:t>
            </w:r>
          </w:p>
        </w:tc>
        <w:tc>
          <w:tcPr>
            <w:tcW w:type="dxa" w:w="3742"/>
          </w:tcPr>
          <w:p>
            <w:pPr>
              <w:spacing w:before="50" w:after="50" w:line="259" w:lineRule="auto"/>
            </w:pPr>
            <w:r/>
            <w:r>
              <w:rPr>
                <w:sz w:val="17"/>
              </w:rPr>
              <w:t>Sections lost when one provider is forced to fail, per test</w:t>
            </w:r>
          </w:p>
        </w:tc>
        <w:tc>
          <w:tcPr>
            <w:tcW w:type="dxa" w:w="2268"/>
          </w:tcPr>
          <w:p>
            <w:pPr>
              <w:spacing w:before="50" w:after="50" w:line="259" w:lineRule="auto"/>
            </w:pPr>
            <w:r/>
            <w:r>
              <w:rPr>
                <w:sz w:val="17"/>
              </w:rPr>
              <w:t>Exactly one</w:t>
            </w:r>
          </w:p>
        </w:tc>
      </w:tr>
      <w:tr>
        <w:trPr>
          <w:cantSplit/>
        </w:trPr>
        <w:tc>
          <w:tcPr>
            <w:tcW w:type="dxa" w:w="3402"/>
            <w:shd w:val="clear" w:color="auto" w:fill="F1F5F9"/>
          </w:tcPr>
          <w:p>
            <w:pPr>
              <w:spacing w:before="50" w:after="50" w:line="259" w:lineRule="auto"/>
            </w:pPr>
            <w:r/>
            <w:r>
              <w:rPr>
                <w:sz w:val="17"/>
              </w:rPr>
              <w:t>Provider etiquette is respected by construction</w:t>
            </w:r>
          </w:p>
        </w:tc>
        <w:tc>
          <w:tcPr>
            <w:tcW w:type="dxa" w:w="3742"/>
            <w:shd w:val="clear" w:color="auto" w:fill="F1F5F9"/>
          </w:tcPr>
          <w:p>
            <w:pPr>
              <w:spacing w:before="50" w:after="50" w:line="259" w:lineRule="auto"/>
            </w:pPr>
            <w:r/>
            <w:r>
              <w:rPr>
                <w:sz w:val="17"/>
              </w:rPr>
              <w:t>Requests per provider per user session; tile fetches per pre-cache request</w:t>
            </w:r>
          </w:p>
        </w:tc>
        <w:tc>
          <w:tcPr>
            <w:tcW w:type="dxa" w:w="2268"/>
            <w:shd w:val="clear" w:color="auto" w:fill="F1F5F9"/>
          </w:tcPr>
          <w:p>
            <w:pPr>
              <w:spacing w:before="50" w:after="50" w:line="259" w:lineRule="auto"/>
            </w:pPr>
            <w:r/>
            <w:r>
              <w:rPr>
                <w:sz w:val="17"/>
              </w:rPr>
              <w:t>Within each provider's published policy</w:t>
            </w:r>
          </w:p>
        </w:tc>
      </w:tr>
      <w:tr>
        <w:trPr>
          <w:cantSplit/>
        </w:trPr>
        <w:tc>
          <w:tcPr>
            <w:tcW w:type="dxa" w:w="3402"/>
          </w:tcPr>
          <w:p>
            <w:pPr>
              <w:spacing w:before="50" w:after="50" w:line="259" w:lineRule="auto"/>
            </w:pPr>
            <w:r/>
            <w:r>
              <w:rPr>
                <w:sz w:val="17"/>
              </w:rPr>
              <w:t>Failure messages are human-readable</w:t>
            </w:r>
          </w:p>
        </w:tc>
        <w:tc>
          <w:tcPr>
            <w:tcW w:type="dxa" w:w="3742"/>
          </w:tcPr>
          <w:p>
            <w:pPr>
              <w:spacing w:before="50" w:after="50" w:line="259" w:lineRule="auto"/>
            </w:pPr>
            <w:r/>
            <w:r>
              <w:rPr>
                <w:sz w:val="17"/>
              </w:rPr>
              <w:t>Share of user-visible errors containing an actionable next step</w:t>
            </w:r>
          </w:p>
        </w:tc>
        <w:tc>
          <w:tcPr>
            <w:tcW w:type="dxa" w:w="2268"/>
          </w:tcPr>
          <w:p>
            <w:pPr>
              <w:spacing w:before="50" w:after="50" w:line="259" w:lineRule="auto"/>
            </w:pPr>
            <w:r/>
            <w:r>
              <w:rPr>
                <w:sz w:val="17"/>
              </w:rPr>
              <w:t>100%, asserted in tests</w:t>
            </w:r>
          </w:p>
        </w:tc>
      </w:tr>
      <w:tr>
        <w:trPr>
          <w:cantSplit/>
        </w:trPr>
        <w:tc>
          <w:tcPr>
            <w:tcW w:type="dxa" w:w="3402"/>
            <w:shd w:val="clear" w:color="auto" w:fill="F1F5F9"/>
          </w:tcPr>
          <w:p>
            <w:pPr>
              <w:spacing w:before="50" w:after="50" w:line="259" w:lineRule="auto"/>
            </w:pPr>
            <w:r/>
            <w:r>
              <w:rPr>
                <w:sz w:val="17"/>
              </w:rPr>
              <w:t>Derived logic is correct for the location it describes</w:t>
            </w:r>
          </w:p>
        </w:tc>
        <w:tc>
          <w:tcPr>
            <w:tcW w:type="dxa" w:w="3742"/>
            <w:shd w:val="clear" w:color="auto" w:fill="F1F5F9"/>
          </w:tcPr>
          <w:p>
            <w:pPr>
              <w:spacing w:before="50" w:after="50" w:line="259" w:lineRule="auto"/>
            </w:pPr>
            <w:r/>
            <w:r>
              <w:rPr>
                <w:sz w:val="17"/>
              </w:rPr>
              <w:t>Share of derived thresholds that are location-relative rather than global</w:t>
            </w:r>
          </w:p>
        </w:tc>
        <w:tc>
          <w:tcPr>
            <w:tcW w:type="dxa" w:w="2268"/>
            <w:shd w:val="clear" w:color="auto" w:fill="F1F5F9"/>
          </w:tcPr>
          <w:p>
            <w:pPr>
              <w:spacing w:before="50" w:after="50" w:line="259" w:lineRule="auto"/>
            </w:pPr>
            <w:r/>
            <w:r>
              <w:rPr>
                <w:sz w:val="17"/>
              </w:rPr>
              <w:t>100% after Phase one</w:t>
            </w:r>
          </w:p>
        </w:tc>
      </w:tr>
      <w:tr>
        <w:trPr>
          <w:cantSplit/>
        </w:trPr>
        <w:tc>
          <w:tcPr>
            <w:tcW w:type="dxa" w:w="3402"/>
          </w:tcPr>
          <w:p>
            <w:pPr>
              <w:spacing w:before="50" w:after="50" w:line="259" w:lineRule="auto"/>
            </w:pPr>
            <w:r/>
            <w:r>
              <w:rPr>
                <w:sz w:val="17"/>
              </w:rPr>
              <w:t>The MCP and web surfaces cannot drift apart</w:t>
            </w:r>
          </w:p>
        </w:tc>
        <w:tc>
          <w:tcPr>
            <w:tcW w:type="dxa" w:w="3742"/>
          </w:tcPr>
          <w:p>
            <w:pPr>
              <w:spacing w:before="50" w:after="50" w:line="259" w:lineRule="auto"/>
            </w:pPr>
            <w:r/>
            <w:r>
              <w:rPr>
                <w:sz w:val="17"/>
              </w:rPr>
              <w:t>Provenance labels defined in more than one module</w:t>
            </w:r>
          </w:p>
        </w:tc>
        <w:tc>
          <w:tcPr>
            <w:tcW w:type="dxa" w:w="2268"/>
          </w:tcPr>
          <w:p>
            <w:pPr>
              <w:spacing w:before="50" w:after="50" w:line="259" w:lineRule="auto"/>
            </w:pPr>
            <w:r/>
            <w:r>
              <w:rPr>
                <w:sz w:val="17"/>
              </w:rPr>
              <w:t>Zero</w:t>
            </w:r>
          </w:p>
        </w:tc>
      </w:tr>
    </w:tbl>
    <w:p>
      <w:pPr>
        <w:spacing w:after="0"/>
      </w:pPr>
    </w:p>
    <w:p>
      <w:pPr>
        <w:spacing w:after="240"/>
      </w:pPr>
      <w:r>
        <w:rPr>
          <w:i/>
          <w:color w:val="6B7280"/>
          <w:sz w:val="17"/>
        </w:rPr>
        <w:t>Table 17 — Engineering goals.</w:t>
      </w:r>
    </w:p>
    <w:p>
      <w:pPr>
        <w:pStyle w:val="Heading2"/>
      </w:pPr>
      <w:r>
        <w:t>7.3  MCP adoption goals</w:t>
      </w:r>
    </w:p>
    <w:p>
      <w:r>
        <w:rPr>
          <w:i w:val="0"/>
        </w:rPr>
        <w:t>For the protocol surface specifically, three outcomes define success. A model calling these tools should never present a derived flag as an official warning, which can be evaluated directly by scripted conversations against the server and should be tested as rigorously as any code path. A model should name the failed provider and offer the official link when a section is unavailable, rather than filling the gap. And the server should be installable by a non-developer in under five minutes from a packaged plugin, since the reach argument in Section 5.2 only holds if installation is not itself a barrier.</w:t>
      </w:r>
    </w:p>
    <w:p>
      <w:r>
        <w:br w:type="page"/>
      </w:r>
    </w:p>
    <w:p>
      <w:pPr>
        <w:pStyle w:val="Heading1"/>
        <w:pBdr>
          <w:bottom w:val="single" w:sz="8" w:space="6" w:color="C7D2DE"/>
        </w:pBdr>
      </w:pPr>
      <w:r>
        <w:t>8  Risks, limitations and responsibilities</w:t>
      </w:r>
    </w:p>
    <w:p>
      <w:pPr>
        <w:pStyle w:val="Heading2"/>
      </w:pPr>
      <w:r>
        <w:t>8.1  The safety-critical caveat</w:t>
      </w:r>
    </w:p>
    <w:p>
      <w:r>
        <w:rPr>
          <w:i w:val="0"/>
        </w:rPr>
        <w:t>heyBro aggregates public data; it does not issue warnings, and it must never be presented as doing so. Four limits follow and should appear in the product's own interface, not only in this document. Coverage is uneven: most countries have no machine-readable official alert feed connected, so a quiet official-alerts panel frequently means nothing is known rather than nothing is wrong. Latency is real: a fifteen-minute GDACS cache and a provider's own publication delay compound, and fast-moving hazards outrun both. Forecasts are predictions, and the interface already says so. And the derived flags and the risk score are arithmetic performed by this system over other people's data, carrying no authority whatsoever. In any emergency the national authority is the source of truth, which is why those links are attached to every response rather than filed on an about page.</w:t>
      </w:r>
    </w:p>
    <w:p>
      <w:pPr>
        <w:pStyle w:val="Heading2"/>
      </w:pPr>
      <w:r>
        <w:t>8.2  Provider dependency</w:t>
      </w:r>
    </w:p>
    <w:p>
      <w:r>
        <w:rPr>
          <w:i w:val="0"/>
        </w:rPr>
        <w:t>The system's great strength — free providers with no commercial relationship — is also its principal structural risk. There is no contract, no service level and no entitlement. The GDACS endpoint migration already visible in the code is a concrete instance: a feed the product depended on began answering HTTP 400 and the code now carries a fallback chain and a comment explaining why. The mitigations are the ones the codebase already practises and should continue to: multiple endpoints per capability, fallback across mirrors, honest degradation when everything fails, and tests that lock the degradation behaviour in place. Scheduled synthetic checks against each provider would add early warning of the next migration, which is cheap and currently absent.</w:t>
      </w:r>
    </w:p>
    <w:p>
      <w:pPr>
        <w:pStyle w:val="Heading2"/>
      </w:pPr>
      <w:r>
        <w:t>8.3  Licensing and attribution</w:t>
      </w:r>
    </w:p>
    <w:tbl>
      <w:tblPr>
        <w:tblStyle w:val="TableGrid"/>
        <w:tblW w:type="auto" w:w="0"/>
        <w:jc w:val="left"/>
        <w:tblLayout w:type="fixed"/>
        <w:tblLook w:firstColumn="1" w:firstRow="1" w:lastColumn="0" w:lastRow="0" w:noHBand="0" w:noVBand="1" w:val="04A0"/>
      </w:tblPr>
      <w:tblGrid>
        <w:gridCol w:w="4706"/>
        <w:gridCol w:w="4706"/>
      </w:tblGrid>
      <w:tr>
        <w:trPr>
          <w:tblHeader/>
        </w:trPr>
        <w:tc>
          <w:tcPr>
            <w:tcW w:type="dxa" w:w="2494"/>
            <w:shd w:val="clear" w:color="auto" w:fill="14304A"/>
          </w:tcPr>
          <w:p>
            <w:pPr>
              <w:spacing w:before="60" w:after="60"/>
            </w:pPr>
            <w:r/>
            <w:r>
              <w:rPr>
                <w:b/>
                <w:color w:val="FFFFFF"/>
                <w:sz w:val="17"/>
              </w:rPr>
              <w:t>Source</w:t>
            </w:r>
          </w:p>
        </w:tc>
        <w:tc>
          <w:tcPr>
            <w:tcW w:type="dxa" w:w="6917"/>
            <w:shd w:val="clear" w:color="auto" w:fill="14304A"/>
          </w:tcPr>
          <w:p>
            <w:pPr>
              <w:spacing w:before="60" w:after="60"/>
            </w:pPr>
            <w:r/>
            <w:r>
              <w:rPr>
                <w:b/>
                <w:color w:val="FFFFFF"/>
                <w:sz w:val="17"/>
              </w:rPr>
              <w:t>Obligation</w:t>
            </w:r>
          </w:p>
        </w:tc>
      </w:tr>
      <w:tr>
        <w:trPr>
          <w:cantSplit/>
        </w:trPr>
        <w:tc>
          <w:tcPr>
            <w:tcW w:type="dxa" w:w="2494"/>
          </w:tcPr>
          <w:p>
            <w:pPr>
              <w:spacing w:before="50" w:after="50" w:line="259" w:lineRule="auto"/>
            </w:pPr>
            <w:r/>
            <w:r>
              <w:rPr>
                <w:sz w:val="17"/>
              </w:rPr>
              <w:t>OpenStreetMap data and tiles</w:t>
            </w:r>
          </w:p>
        </w:tc>
        <w:tc>
          <w:tcPr>
            <w:tcW w:type="dxa" w:w="6917"/>
          </w:tcPr>
          <w:p>
            <w:pPr>
              <w:spacing w:before="50" w:after="50" w:line="259" w:lineRule="auto"/>
            </w:pPr>
            <w:r/>
            <w:r>
              <w:rPr>
                <w:sz w:val="17"/>
              </w:rPr>
              <w:t>Open Database Licence; attribution required; the tile usage policy forbids bulk downloading — honoured by the throttle and the 400-tile cap in the service worker</w:t>
            </w:r>
          </w:p>
        </w:tc>
      </w:tr>
      <w:tr>
        <w:trPr>
          <w:cantSplit/>
        </w:trPr>
        <w:tc>
          <w:tcPr>
            <w:tcW w:type="dxa" w:w="2494"/>
            <w:shd w:val="clear" w:color="auto" w:fill="F1F5F9"/>
          </w:tcPr>
          <w:p>
            <w:pPr>
              <w:spacing w:before="50" w:after="50" w:line="259" w:lineRule="auto"/>
            </w:pPr>
            <w:r/>
            <w:r>
              <w:rPr>
                <w:sz w:val="17"/>
              </w:rPr>
              <w:t>Nominatim</w:t>
            </w:r>
          </w:p>
        </w:tc>
        <w:tc>
          <w:tcPr>
            <w:tcW w:type="dxa" w:w="6917"/>
            <w:shd w:val="clear" w:color="auto" w:fill="F1F5F9"/>
          </w:tcPr>
          <w:p>
            <w:pPr>
              <w:spacing w:before="50" w:after="50" w:line="259" w:lineRule="auto"/>
            </w:pPr>
            <w:r/>
            <w:r>
              <w:rPr>
                <w:sz w:val="17"/>
              </w:rPr>
              <w:t>Usage policy requires an identifying User-Agent and discourages heavy or uncached use; absolute rate limits apply</w:t>
            </w:r>
          </w:p>
        </w:tc>
      </w:tr>
      <w:tr>
        <w:trPr>
          <w:cantSplit/>
        </w:trPr>
        <w:tc>
          <w:tcPr>
            <w:tcW w:type="dxa" w:w="2494"/>
          </w:tcPr>
          <w:p>
            <w:pPr>
              <w:spacing w:before="50" w:after="50" w:line="259" w:lineRule="auto"/>
            </w:pPr>
            <w:r/>
            <w:r>
              <w:rPr>
                <w:sz w:val="17"/>
              </w:rPr>
              <w:t>Open-Meteo</w:t>
            </w:r>
          </w:p>
        </w:tc>
        <w:tc>
          <w:tcPr>
            <w:tcW w:type="dxa" w:w="6917"/>
          </w:tcPr>
          <w:p>
            <w:pPr>
              <w:spacing w:before="50" w:after="50" w:line="259" w:lineRule="auto"/>
            </w:pPr>
            <w:r/>
            <w:r>
              <w:rPr>
                <w:sz w:val="17"/>
              </w:rPr>
              <w:t>Free for non-commercial use under its stated terms; attribution expected and already carried in the payload and rendered panel</w:t>
            </w:r>
          </w:p>
        </w:tc>
      </w:tr>
      <w:tr>
        <w:trPr>
          <w:cantSplit/>
        </w:trPr>
        <w:tc>
          <w:tcPr>
            <w:tcW w:type="dxa" w:w="2494"/>
            <w:shd w:val="clear" w:color="auto" w:fill="F1F5F9"/>
          </w:tcPr>
          <w:p>
            <w:pPr>
              <w:spacing w:before="50" w:after="50" w:line="259" w:lineRule="auto"/>
            </w:pPr>
            <w:r/>
            <w:r>
              <w:rPr>
                <w:sz w:val="17"/>
              </w:rPr>
              <w:t>GDACS</w:t>
            </w:r>
          </w:p>
        </w:tc>
        <w:tc>
          <w:tcPr>
            <w:tcW w:type="dxa" w:w="6917"/>
            <w:shd w:val="clear" w:color="auto" w:fill="F1F5F9"/>
          </w:tcPr>
          <w:p>
            <w:pPr>
              <w:spacing w:before="50" w:after="50" w:line="259" w:lineRule="auto"/>
            </w:pPr>
            <w:r/>
            <w:r>
              <w:rPr>
                <w:sz w:val="17"/>
              </w:rPr>
              <w:t>European Commission Joint Research Centre data; attribution expected; citation requirements apply to derived products</w:t>
            </w:r>
          </w:p>
        </w:tc>
      </w:tr>
      <w:tr>
        <w:trPr>
          <w:cantSplit/>
        </w:trPr>
        <w:tc>
          <w:tcPr>
            <w:tcW w:type="dxa" w:w="2494"/>
          </w:tcPr>
          <w:p>
            <w:pPr>
              <w:spacing w:before="50" w:after="50" w:line="259" w:lineRule="auto"/>
            </w:pPr>
            <w:r/>
            <w:r>
              <w:rPr>
                <w:sz w:val="17"/>
              </w:rPr>
              <w:t>US National Weather Service</w:t>
            </w:r>
          </w:p>
        </w:tc>
        <w:tc>
          <w:tcPr>
            <w:tcW w:type="dxa" w:w="6917"/>
          </w:tcPr>
          <w:p>
            <w:pPr>
              <w:spacing w:before="50" w:after="50" w:line="259" w:lineRule="auto"/>
            </w:pPr>
            <w:r/>
            <w:r>
              <w:rPr>
                <w:sz w:val="17"/>
              </w:rPr>
              <w:t>US government work, effectively public domain; misrepresenting it as anything other than NWS output is the real risk</w:t>
            </w:r>
          </w:p>
        </w:tc>
      </w:tr>
      <w:tr>
        <w:trPr>
          <w:cantSplit/>
        </w:trPr>
        <w:tc>
          <w:tcPr>
            <w:tcW w:type="dxa" w:w="2494"/>
            <w:shd w:val="clear" w:color="auto" w:fill="F1F5F9"/>
          </w:tcPr>
          <w:p>
            <w:pPr>
              <w:spacing w:before="50" w:after="50" w:line="259" w:lineRule="auto"/>
            </w:pPr>
            <w:r/>
            <w:r>
              <w:rPr>
                <w:sz w:val="17"/>
              </w:rPr>
              <w:t>TomTom</w:t>
            </w:r>
          </w:p>
        </w:tc>
        <w:tc>
          <w:tcPr>
            <w:tcW w:type="dxa" w:w="6917"/>
            <w:shd w:val="clear" w:color="auto" w:fill="F1F5F9"/>
          </w:tcPr>
          <w:p>
            <w:pPr>
              <w:spacing w:before="50" w:after="50" w:line="259" w:lineRule="auto"/>
            </w:pPr>
            <w:r/>
            <w:r>
              <w:rPr>
                <w:sz w:val="17"/>
              </w:rPr>
              <w:t>Commercial terms govern caching duration, display and redistribution; the 300-second cache and 25-item truncation must be checked against the applicable tier</w:t>
            </w:r>
          </w:p>
        </w:tc>
      </w:tr>
    </w:tbl>
    <w:p>
      <w:pPr>
        <w:spacing w:after="0"/>
      </w:pPr>
    </w:p>
    <w:p>
      <w:pPr>
        <w:spacing w:after="240"/>
      </w:pPr>
      <w:r>
        <w:rPr>
          <w:i/>
          <w:color w:val="6B7280"/>
          <w:sz w:val="17"/>
        </w:rPr>
        <w:t>Table 18 — Attribution and licensing obligations. Review against current provider terms before any commercial deployment.</w:t>
      </w:r>
    </w:p>
    <w:p>
      <w:pPr>
        <w:pStyle w:val="Heading2"/>
      </w:pPr>
      <w:r>
        <w:t>8.4  Privacy</w:t>
      </w:r>
    </w:p>
    <w:p>
      <w:r>
        <w:rPr>
          <w:i w:val="0"/>
        </w:rPr>
        <w:t>Precise location is among the most sensitive categories of personal data, and a travel-safety application collects it by necessity. Three properties of the current design are worth preserving deliberately rather than by accident. Coordinates are sent to third-party providers as part of every query, which is unavoidable but should be disclosed plainly. Cached briefings and the country code live in the browser's local storage on the user's own device rather than on a server, which is the right default. And no user identifier appears anywhere in the reviewed code, meaning the system currently cannot correlate a person with a location history. The change-detection and subscription features proposed in Sections 6.2 and 6.4 would break that last property, because watching a location requires storing it against an identity. That trade should be made explicitly, with retention limits decided before the feature is built rather than after.</w:t>
      </w:r>
    </w:p>
    <w:p>
      <w:pPr>
        <w:pStyle w:val="Heading2"/>
      </w:pPr>
      <w:r>
        <w:t>8.5  Framing and liability</w:t>
      </w:r>
    </w:p>
    <w:p>
      <w:r>
        <w:rPr>
          <w:i w:val="0"/>
        </w:rPr>
        <w:t>A product that informs life-safety decisions attracts reliance beyond what its data can support. The mitigation is not a disclaimer buried in a footer; it is the provenance discipline already built into the system, carried consistently into every new surface. The specific risk introduced by the MCP integration is that a language model is a fluent intermediary that can smooth away precisely the distinctions this system works to preserve, restating a computed rainfall flag as “authorities have warned”. That is why the server-level instructions, the per-tool descriptions, the labels inside every payload and the advice field inside every failure all repeat the same contract. Redundancy there is not verbosity; it is the control.</w:t>
      </w:r>
    </w:p>
    <w:p>
      <w:r>
        <w:br w:type="page"/>
      </w:r>
    </w:p>
    <w:p>
      <w:pPr>
        <w:pStyle w:val="Heading1"/>
        <w:pBdr>
          <w:bottom w:val="single" w:sz="8" w:space="6" w:color="C7D2DE"/>
        </w:pBdr>
      </w:pPr>
      <w:r>
        <w:t>9  Appendices</w:t>
      </w:r>
    </w:p>
    <w:p>
      <w:pPr>
        <w:pStyle w:val="Heading2"/>
      </w:pPr>
      <w:r>
        <w:t>9.1  Appendix A — File inventory</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trPr>
        <w:tc>
          <w:tcPr>
            <w:tcW w:type="dxa" w:w="3515"/>
            <w:shd w:val="clear" w:color="auto" w:fill="14304A"/>
          </w:tcPr>
          <w:p>
            <w:pPr>
              <w:spacing w:before="60" w:after="60"/>
            </w:pPr>
            <w:r/>
            <w:r>
              <w:rPr>
                <w:b/>
                <w:color w:val="FFFFFF"/>
                <w:sz w:val="17"/>
              </w:rPr>
              <w:t>Path</w:t>
            </w:r>
          </w:p>
        </w:tc>
        <w:tc>
          <w:tcPr>
            <w:tcW w:type="dxa" w:w="2041"/>
            <w:shd w:val="clear" w:color="auto" w:fill="14304A"/>
          </w:tcPr>
          <w:p>
            <w:pPr>
              <w:spacing w:before="60" w:after="60"/>
            </w:pPr>
            <w:r/>
            <w:r>
              <w:rPr>
                <w:b/>
                <w:color w:val="FFFFFF"/>
                <w:sz w:val="17"/>
              </w:rPr>
              <w:t>Status</w:t>
            </w:r>
          </w:p>
        </w:tc>
        <w:tc>
          <w:tcPr>
            <w:tcW w:type="dxa" w:w="3855"/>
            <w:shd w:val="clear" w:color="auto" w:fill="14304A"/>
          </w:tcPr>
          <w:p>
            <w:pPr>
              <w:spacing w:before="60" w:after="60"/>
            </w:pPr>
            <w:r/>
            <w:r>
              <w:rPr>
                <w:b/>
                <w:color w:val="FFFFFF"/>
                <w:sz w:val="17"/>
              </w:rPr>
              <w:t>Purpose</w:t>
            </w:r>
          </w:p>
        </w:tc>
      </w:tr>
      <w:tr>
        <w:trPr>
          <w:cantSplit/>
        </w:trPr>
        <w:tc>
          <w:tcPr>
            <w:tcW w:type="dxa" w:w="3515"/>
          </w:tcPr>
          <w:p>
            <w:pPr>
              <w:spacing w:before="50" w:after="50" w:line="259" w:lineRule="auto"/>
            </w:pPr>
            <w:r/>
            <w:r>
              <w:rPr>
                <w:rFonts w:ascii="Consolas" w:hAnsi="Consolas"/>
                <w:color w:val="8B2E4F"/>
                <w:sz w:val="16"/>
              </w:rPr>
              <w:t>services/live_service.py</w:t>
            </w:r>
          </w:p>
        </w:tc>
        <w:tc>
          <w:tcPr>
            <w:tcW w:type="dxa" w:w="2041"/>
          </w:tcPr>
          <w:p>
            <w:pPr>
              <w:spacing w:before="50" w:after="50" w:line="259" w:lineRule="auto"/>
            </w:pPr>
            <w:r/>
            <w:r>
              <w:rPr>
                <w:sz w:val="17"/>
              </w:rPr>
              <w:t>Reviewed</w:t>
            </w:r>
          </w:p>
        </w:tc>
        <w:tc>
          <w:tcPr>
            <w:tcW w:type="dxa" w:w="3855"/>
          </w:tcPr>
          <w:p>
            <w:pPr>
              <w:spacing w:before="50" w:after="50" w:line="259" w:lineRule="auto"/>
            </w:pPr>
            <w:r/>
            <w:r>
              <w:rPr>
                <w:sz w:val="17"/>
              </w:rPr>
              <w:t>Provider aggregation and provenance labelling</w:t>
            </w:r>
          </w:p>
        </w:tc>
      </w:tr>
      <w:tr>
        <w:trPr>
          <w:cantSplit/>
        </w:trPr>
        <w:tc>
          <w:tcPr>
            <w:tcW w:type="dxa" w:w="3515"/>
            <w:shd w:val="clear" w:color="auto" w:fill="F1F5F9"/>
          </w:tcPr>
          <w:p>
            <w:pPr>
              <w:spacing w:before="50" w:after="50" w:line="259" w:lineRule="auto"/>
            </w:pPr>
            <w:r/>
            <w:r>
              <w:rPr>
                <w:rFonts w:ascii="Consolas" w:hAnsi="Consolas"/>
                <w:color w:val="8B2E4F"/>
                <w:sz w:val="16"/>
              </w:rPr>
              <w:t>static/js/live.js</w:t>
            </w:r>
          </w:p>
        </w:tc>
        <w:tc>
          <w:tcPr>
            <w:tcW w:type="dxa" w:w="2041"/>
            <w:shd w:val="clear" w:color="auto" w:fill="F1F5F9"/>
          </w:tcPr>
          <w:p>
            <w:pPr>
              <w:spacing w:before="50" w:after="50" w:line="259" w:lineRule="auto"/>
            </w:pPr>
            <w:r/>
            <w:r>
              <w:rPr>
                <w:sz w:val="17"/>
              </w:rPr>
              <w:t>Reviewed</w:t>
            </w:r>
          </w:p>
        </w:tc>
        <w:tc>
          <w:tcPr>
            <w:tcW w:type="dxa" w:w="3855"/>
            <w:shd w:val="clear" w:color="auto" w:fill="F1F5F9"/>
          </w:tcPr>
          <w:p>
            <w:pPr>
              <w:spacing w:before="50" w:after="50" w:line="259" w:lineRule="auto"/>
            </w:pPr>
            <w:r/>
            <w:r>
              <w:rPr>
                <w:sz w:val="17"/>
              </w:rPr>
              <w:t>Live-conditions view with offline fallback</w:t>
            </w:r>
          </w:p>
        </w:tc>
      </w:tr>
      <w:tr>
        <w:trPr>
          <w:cantSplit/>
        </w:trPr>
        <w:tc>
          <w:tcPr>
            <w:tcW w:type="dxa" w:w="3515"/>
          </w:tcPr>
          <w:p>
            <w:pPr>
              <w:spacing w:before="50" w:after="50" w:line="259" w:lineRule="auto"/>
            </w:pPr>
            <w:r/>
            <w:r>
              <w:rPr>
                <w:rFonts w:ascii="Consolas" w:hAnsi="Consolas"/>
                <w:color w:val="8B2E4F"/>
                <w:sz w:val="16"/>
              </w:rPr>
              <w:t>static/js/sw.js</w:t>
            </w:r>
          </w:p>
        </w:tc>
        <w:tc>
          <w:tcPr>
            <w:tcW w:type="dxa" w:w="2041"/>
          </w:tcPr>
          <w:p>
            <w:pPr>
              <w:spacing w:before="50" w:after="50" w:line="259" w:lineRule="auto"/>
            </w:pPr>
            <w:r/>
            <w:r>
              <w:rPr>
                <w:sz w:val="17"/>
              </w:rPr>
              <w:t>Reviewed</w:t>
            </w:r>
          </w:p>
        </w:tc>
        <w:tc>
          <w:tcPr>
            <w:tcW w:type="dxa" w:w="3855"/>
          </w:tcPr>
          <w:p>
            <w:pPr>
              <w:spacing w:before="50" w:after="50" w:line="259" w:lineRule="auto"/>
            </w:pPr>
            <w:r/>
            <w:r>
              <w:rPr>
                <w:sz w:val="17"/>
              </w:rPr>
              <w:t>Service worker: shell, page and tile caches</w:t>
            </w:r>
          </w:p>
        </w:tc>
      </w:tr>
      <w:tr>
        <w:trPr>
          <w:cantSplit/>
        </w:trPr>
        <w:tc>
          <w:tcPr>
            <w:tcW w:type="dxa" w:w="3515"/>
            <w:shd w:val="clear" w:color="auto" w:fill="F1F5F9"/>
          </w:tcPr>
          <w:p>
            <w:pPr>
              <w:spacing w:before="50" w:after="50" w:line="259" w:lineRule="auto"/>
            </w:pPr>
            <w:r/>
            <w:r>
              <w:rPr>
                <w:rFonts w:ascii="Consolas" w:hAnsi="Consolas"/>
                <w:color w:val="8B2E4F"/>
                <w:sz w:val="16"/>
              </w:rPr>
              <w:t>tests/test_providers.py</w:t>
            </w:r>
          </w:p>
        </w:tc>
        <w:tc>
          <w:tcPr>
            <w:tcW w:type="dxa" w:w="2041"/>
            <w:shd w:val="clear" w:color="auto" w:fill="F1F5F9"/>
          </w:tcPr>
          <w:p>
            <w:pPr>
              <w:spacing w:before="50" w:after="50" w:line="259" w:lineRule="auto"/>
            </w:pPr>
            <w:r/>
            <w:r>
              <w:rPr>
                <w:sz w:val="17"/>
              </w:rPr>
              <w:t>Reviewed</w:t>
            </w:r>
          </w:p>
        </w:tc>
        <w:tc>
          <w:tcPr>
            <w:tcW w:type="dxa" w:w="3855"/>
            <w:shd w:val="clear" w:color="auto" w:fill="F1F5F9"/>
          </w:tcPr>
          <w:p>
            <w:pPr>
              <w:spacing w:before="50" w:after="50" w:line="259" w:lineRule="auto"/>
            </w:pPr>
            <w:r/>
            <w:r>
              <w:rPr>
                <w:sz w:val="17"/>
              </w:rPr>
              <w:t>Provider resilience and de-duplication tests</w:t>
            </w:r>
          </w:p>
        </w:tc>
      </w:tr>
      <w:tr>
        <w:trPr>
          <w:cantSplit/>
        </w:trPr>
        <w:tc>
          <w:tcPr>
            <w:tcW w:type="dxa" w:w="3515"/>
          </w:tcPr>
          <w:p>
            <w:pPr>
              <w:spacing w:before="50" w:after="50" w:line="259" w:lineRule="auto"/>
            </w:pPr>
            <w:r/>
            <w:r>
              <w:rPr>
                <w:rFonts w:ascii="Consolas" w:hAnsi="Consolas"/>
                <w:color w:val="8B2E4F"/>
                <w:sz w:val="16"/>
              </w:rPr>
              <w:t>mcp_server/heybro_mcp.py</w:t>
            </w:r>
          </w:p>
        </w:tc>
        <w:tc>
          <w:tcPr>
            <w:tcW w:type="dxa" w:w="2041"/>
          </w:tcPr>
          <w:p>
            <w:pPr>
              <w:spacing w:before="50" w:after="50" w:line="259" w:lineRule="auto"/>
            </w:pPr>
            <w:r/>
            <w:r>
              <w:rPr>
                <w:sz w:val="17"/>
              </w:rPr>
              <w:t>Added with this document</w:t>
            </w:r>
          </w:p>
        </w:tc>
        <w:tc>
          <w:tcPr>
            <w:tcW w:type="dxa" w:w="3855"/>
          </w:tcPr>
          <w:p>
            <w:pPr>
              <w:spacing w:before="50" w:after="50" w:line="259" w:lineRule="auto"/>
            </w:pPr>
            <w:r/>
            <w:r>
              <w:rPr>
                <w:sz w:val="17"/>
              </w:rPr>
              <w:t>MCP server: 11 tools, 2 resources, 2 prompts</w:t>
            </w:r>
          </w:p>
        </w:tc>
      </w:tr>
      <w:tr>
        <w:trPr>
          <w:cantSplit/>
        </w:trPr>
        <w:tc>
          <w:tcPr>
            <w:tcW w:type="dxa" w:w="3515"/>
            <w:shd w:val="clear" w:color="auto" w:fill="F1F5F9"/>
          </w:tcPr>
          <w:p>
            <w:pPr>
              <w:spacing w:before="50" w:after="50" w:line="259" w:lineRule="auto"/>
            </w:pPr>
            <w:r/>
            <w:r>
              <w:rPr>
                <w:rFonts w:ascii="Consolas" w:hAnsi="Consolas"/>
                <w:color w:val="8B2E4F"/>
                <w:sz w:val="16"/>
              </w:rPr>
              <w:t>mcp_server/requirements.txt</w:t>
            </w:r>
          </w:p>
        </w:tc>
        <w:tc>
          <w:tcPr>
            <w:tcW w:type="dxa" w:w="2041"/>
            <w:shd w:val="clear" w:color="auto" w:fill="F1F5F9"/>
          </w:tcPr>
          <w:p>
            <w:pPr>
              <w:spacing w:before="50" w:after="50" w:line="259" w:lineRule="auto"/>
            </w:pPr>
            <w:r/>
            <w:r>
              <w:rPr>
                <w:sz w:val="17"/>
              </w:rPr>
              <w:t>Added with this document</w:t>
            </w:r>
          </w:p>
        </w:tc>
        <w:tc>
          <w:tcPr>
            <w:tcW w:type="dxa" w:w="3855"/>
            <w:shd w:val="clear" w:color="auto" w:fill="F1F5F9"/>
          </w:tcPr>
          <w:p>
            <w:pPr>
              <w:spacing w:before="50" w:after="50" w:line="259" w:lineRule="auto"/>
            </w:pPr>
            <w:r/>
            <w:r>
              <w:rPr>
                <w:sz w:val="17"/>
              </w:rPr>
              <w:t>The MCP SDK dependency</w:t>
            </w:r>
          </w:p>
        </w:tc>
      </w:tr>
      <w:tr>
        <w:trPr>
          <w:cantSplit/>
        </w:trPr>
        <w:tc>
          <w:tcPr>
            <w:tcW w:type="dxa" w:w="3515"/>
          </w:tcPr>
          <w:p>
            <w:pPr>
              <w:spacing w:before="50" w:after="50" w:line="259" w:lineRule="auto"/>
            </w:pPr>
            <w:r/>
            <w:r>
              <w:rPr>
                <w:rFonts w:ascii="Consolas" w:hAnsi="Consolas"/>
                <w:color w:val="8B2E4F"/>
                <w:sz w:val="16"/>
              </w:rPr>
              <w:t>mcp_server/mcp.config.example.json</w:t>
            </w:r>
          </w:p>
        </w:tc>
        <w:tc>
          <w:tcPr>
            <w:tcW w:type="dxa" w:w="2041"/>
          </w:tcPr>
          <w:p>
            <w:pPr>
              <w:spacing w:before="50" w:after="50" w:line="259" w:lineRule="auto"/>
            </w:pPr>
            <w:r/>
            <w:r>
              <w:rPr>
                <w:sz w:val="17"/>
              </w:rPr>
              <w:t>Added with this document</w:t>
            </w:r>
          </w:p>
        </w:tc>
        <w:tc>
          <w:tcPr>
            <w:tcW w:type="dxa" w:w="3855"/>
          </w:tcPr>
          <w:p>
            <w:pPr>
              <w:spacing w:before="50" w:after="50" w:line="259" w:lineRule="auto"/>
            </w:pPr>
            <w:r/>
            <w:r>
              <w:rPr>
                <w:sz w:val="17"/>
              </w:rPr>
              <w:t>Client configuration template</w:t>
            </w:r>
          </w:p>
        </w:tc>
      </w:tr>
      <w:tr>
        <w:trPr>
          <w:cantSplit/>
        </w:trPr>
        <w:tc>
          <w:tcPr>
            <w:tcW w:type="dxa" w:w="3515"/>
            <w:shd w:val="clear" w:color="auto" w:fill="F1F5F9"/>
          </w:tcPr>
          <w:p>
            <w:pPr>
              <w:spacing w:before="50" w:after="50" w:line="259" w:lineRule="auto"/>
            </w:pPr>
            <w:r/>
            <w:r>
              <w:rPr>
                <w:rFonts w:ascii="Consolas" w:hAnsi="Consolas"/>
                <w:color w:val="8B2E4F"/>
                <w:sz w:val="16"/>
              </w:rPr>
              <w:t>services/http.py</w:t>
            </w:r>
          </w:p>
        </w:tc>
        <w:tc>
          <w:tcPr>
            <w:tcW w:type="dxa" w:w="2041"/>
            <w:shd w:val="clear" w:color="auto" w:fill="F1F5F9"/>
          </w:tcPr>
          <w:p>
            <w:pPr>
              <w:spacing w:before="50" w:after="50" w:line="259" w:lineRule="auto"/>
            </w:pPr>
            <w:r/>
            <w:r>
              <w:rPr>
                <w:sz w:val="17"/>
              </w:rPr>
              <w:t>Referenced, not present</w:t>
            </w:r>
          </w:p>
        </w:tc>
        <w:tc>
          <w:tcPr>
            <w:tcW w:type="dxa" w:w="3855"/>
            <w:shd w:val="clear" w:color="auto" w:fill="F1F5F9"/>
          </w:tcPr>
          <w:p>
            <w:pPr>
              <w:spacing w:before="50" w:after="50" w:line="259" w:lineRule="auto"/>
            </w:pPr>
            <w:r/>
            <w:r>
              <w:rPr>
                <w:sz w:val="17"/>
              </w:rPr>
              <w:t>Shared JSON fetch, TTL cache, ProviderError</w:t>
            </w:r>
          </w:p>
        </w:tc>
      </w:tr>
      <w:tr>
        <w:trPr>
          <w:cantSplit/>
        </w:trPr>
        <w:tc>
          <w:tcPr>
            <w:tcW w:type="dxa" w:w="3515"/>
          </w:tcPr>
          <w:p>
            <w:pPr>
              <w:spacing w:before="50" w:after="50" w:line="259" w:lineRule="auto"/>
            </w:pPr>
            <w:r/>
            <w:r>
              <w:rPr>
                <w:rFonts w:ascii="Consolas" w:hAnsi="Consolas"/>
                <w:color w:val="8B2E4F"/>
                <w:sz w:val="16"/>
              </w:rPr>
              <w:t>services/geo_service.py</w:t>
            </w:r>
          </w:p>
        </w:tc>
        <w:tc>
          <w:tcPr>
            <w:tcW w:type="dxa" w:w="2041"/>
          </w:tcPr>
          <w:p>
            <w:pPr>
              <w:spacing w:before="50" w:after="50" w:line="259" w:lineRule="auto"/>
            </w:pPr>
            <w:r/>
            <w:r>
              <w:rPr>
                <w:sz w:val="17"/>
              </w:rPr>
              <w:t>Referenced, not present</w:t>
            </w:r>
          </w:p>
        </w:tc>
        <w:tc>
          <w:tcPr>
            <w:tcW w:type="dxa" w:w="3855"/>
          </w:tcPr>
          <w:p>
            <w:pPr>
              <w:spacing w:before="50" w:after="50" w:line="259" w:lineRule="auto"/>
            </w:pPr>
            <w:r/>
            <w:r>
              <w:rPr>
                <w:sz w:val="17"/>
              </w:rPr>
              <w:t>Overpass points of interest with mirror fallback</w:t>
            </w:r>
          </w:p>
        </w:tc>
      </w:tr>
    </w:tbl>
    <w:p>
      <w:pPr>
        <w:spacing w:after="0"/>
      </w:pPr>
    </w:p>
    <w:p>
      <w:pPr>
        <w:pStyle w:val="Heading2"/>
      </w:pPr>
      <w:r>
        <w:t>9.2  Appendix B — Environment variables</w:t>
      </w:r>
    </w:p>
    <w:p>
      <w:pPr>
        <w:spacing w:before="140" w:after="0" w:line="240" w:lineRule="auto"/>
        <w:ind w:left="198" w:right="113"/>
        <w:keepNext/>
        <w:shd w:val="clear" w:color="auto" w:fill="F6F7F9"/>
        <w:pBdr>
          <w:left w:val="single" w:sz="18" w:space="6" w:color="C7D2DE"/>
        </w:pBdr>
      </w:pPr>
      <w:r>
        <w:rPr>
          <w:rFonts w:ascii="Consolas" w:hAnsi="Consolas"/>
          <w:color w:val="1E293B"/>
          <w:sz w:val="17"/>
        </w:rPr>
        <w:t>TOMTOM_API_KEY        optional  unlocks live road closures and incidents</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HEYBRO_USER_AGENT     advised   contact string sent to every provider</w:t>
      </w:r>
    </w:p>
    <w:p>
      <w:pPr>
        <w:spacing w:before="0" w:after="0" w:line="240" w:lineRule="auto"/>
        <w:ind w:left="198" w:right="113"/>
        <w:keepNext/>
        <w:shd w:val="clear" w:color="auto" w:fill="F6F7F9"/>
        <w:pBdr>
          <w:left w:val="single" w:sz="18" w:space="6" w:color="C7D2DE"/>
        </w:pBdr>
      </w:pPr>
      <w:r>
        <w:rPr>
          <w:rFonts w:ascii="Consolas" w:hAnsi="Consolas"/>
          <w:color w:val="1E293B"/>
          <w:sz w:val="17"/>
        </w:rPr>
        <w:t>HEYBRO_HTTP_TIMEOUT   optional  seconds; default 20</w:t>
      </w:r>
    </w:p>
    <w:p>
      <w:pPr>
        <w:spacing w:before="0" w:after="140" w:line="240" w:lineRule="auto"/>
        <w:ind w:left="198" w:right="113"/>
        <w:shd w:val="clear" w:color="auto" w:fill="F6F7F9"/>
        <w:pBdr>
          <w:left w:val="single" w:sz="18" w:space="6" w:color="C7D2DE"/>
        </w:pBdr>
      </w:pPr>
      <w:r>
        <w:rPr>
          <w:rFonts w:ascii="Consolas" w:hAnsi="Consolas"/>
          <w:color w:val="1E293B"/>
          <w:sz w:val="17"/>
        </w:rPr>
        <w:t>HEYBRO_MCP_TRANSPORT  optional  "stdio" (default) or "sse"</w:t>
      </w:r>
    </w:p>
    <w:p>
      <w:pPr>
        <w:pStyle w:val="Heading2"/>
      </w:pPr>
      <w:r>
        <w:t>9.3  Appendix C — Glossary</w:t>
      </w:r>
    </w:p>
    <w:tbl>
      <w:tblPr>
        <w:tblStyle w:val="TableGrid"/>
        <w:tblW w:type="auto" w:w="0"/>
        <w:jc w:val="left"/>
        <w:tblLayout w:type="fixed"/>
        <w:tblLook w:firstColumn="1" w:firstRow="1" w:lastColumn="0" w:lastRow="0" w:noHBand="0" w:noVBand="1" w:val="04A0"/>
      </w:tblPr>
      <w:tblGrid>
        <w:gridCol w:w="4706"/>
        <w:gridCol w:w="4706"/>
      </w:tblGrid>
      <w:tr>
        <w:trPr>
          <w:tblHeader/>
        </w:trPr>
        <w:tc>
          <w:tcPr>
            <w:tcW w:type="dxa" w:w="1701"/>
            <w:shd w:val="clear" w:color="auto" w:fill="14304A"/>
          </w:tcPr>
          <w:p>
            <w:pPr>
              <w:spacing w:before="60" w:after="60"/>
            </w:pPr>
            <w:r/>
            <w:r>
              <w:rPr>
                <w:b/>
                <w:color w:val="FFFFFF"/>
                <w:sz w:val="17"/>
              </w:rPr>
              <w:t>Term</w:t>
            </w:r>
          </w:p>
        </w:tc>
        <w:tc>
          <w:tcPr>
            <w:tcW w:type="dxa" w:w="7710"/>
            <w:shd w:val="clear" w:color="auto" w:fill="14304A"/>
          </w:tcPr>
          <w:p>
            <w:pPr>
              <w:spacing w:before="60" w:after="60"/>
            </w:pPr>
            <w:r/>
            <w:r>
              <w:rPr>
                <w:b/>
                <w:color w:val="FFFFFF"/>
                <w:sz w:val="17"/>
              </w:rPr>
              <w:t>Meaning</w:t>
            </w:r>
          </w:p>
        </w:tc>
      </w:tr>
      <w:tr>
        <w:trPr>
          <w:cantSplit/>
        </w:trPr>
        <w:tc>
          <w:tcPr>
            <w:tcW w:type="dxa" w:w="1701"/>
          </w:tcPr>
          <w:p>
            <w:pPr>
              <w:spacing w:before="50" w:after="50" w:line="259" w:lineRule="auto"/>
            </w:pPr>
            <w:r/>
            <w:r>
              <w:rPr>
                <w:sz w:val="17"/>
              </w:rPr>
              <w:t>CAP</w:t>
            </w:r>
          </w:p>
        </w:tc>
        <w:tc>
          <w:tcPr>
            <w:tcW w:type="dxa" w:w="7710"/>
          </w:tcPr>
          <w:p>
            <w:pPr>
              <w:spacing w:before="50" w:after="50" w:line="259" w:lineRule="auto"/>
            </w:pPr>
            <w:r/>
            <w:r>
              <w:rPr>
                <w:sz w:val="17"/>
              </w:rPr>
              <w:t>Common Alerting Protocol — the international XML standard for public warnings; the format NDMA SACHET publishes and the obvious ingestion target in Phase one</w:t>
            </w:r>
          </w:p>
        </w:tc>
      </w:tr>
      <w:tr>
        <w:trPr>
          <w:cantSplit/>
        </w:trPr>
        <w:tc>
          <w:tcPr>
            <w:tcW w:type="dxa" w:w="1701"/>
            <w:shd w:val="clear" w:color="auto" w:fill="F1F5F9"/>
          </w:tcPr>
          <w:p>
            <w:pPr>
              <w:spacing w:before="50" w:after="50" w:line="259" w:lineRule="auto"/>
            </w:pPr>
            <w:r/>
            <w:r>
              <w:rPr>
                <w:sz w:val="17"/>
              </w:rPr>
              <w:t>GDACS</w:t>
            </w:r>
          </w:p>
        </w:tc>
        <w:tc>
          <w:tcPr>
            <w:tcW w:type="dxa" w:w="7710"/>
            <w:shd w:val="clear" w:color="auto" w:fill="F1F5F9"/>
          </w:tcPr>
          <w:p>
            <w:pPr>
              <w:spacing w:before="50" w:after="50" w:line="259" w:lineRule="auto"/>
            </w:pPr>
            <w:r/>
            <w:r>
              <w:rPr>
                <w:sz w:val="17"/>
              </w:rPr>
              <w:t>Global Disaster Alert and Coordination System, operated by the UN and the European Commission Joint Research Centre</w:t>
            </w:r>
          </w:p>
        </w:tc>
      </w:tr>
      <w:tr>
        <w:trPr>
          <w:cantSplit/>
        </w:trPr>
        <w:tc>
          <w:tcPr>
            <w:tcW w:type="dxa" w:w="1701"/>
          </w:tcPr>
          <w:p>
            <w:pPr>
              <w:spacing w:before="50" w:after="50" w:line="259" w:lineRule="auto"/>
            </w:pPr>
            <w:r/>
            <w:r>
              <w:rPr>
                <w:sz w:val="17"/>
              </w:rPr>
              <w:t>GloFAS</w:t>
            </w:r>
          </w:p>
        </w:tc>
        <w:tc>
          <w:tcPr>
            <w:tcW w:type="dxa" w:w="7710"/>
          </w:tcPr>
          <w:p>
            <w:pPr>
              <w:spacing w:before="50" w:after="50" w:line="259" w:lineRule="auto"/>
            </w:pPr>
            <w:r/>
            <w:r>
              <w:rPr>
                <w:sz w:val="17"/>
              </w:rPr>
              <w:t>Global Flood Awareness System, part of the Copernicus programme</w:t>
            </w:r>
          </w:p>
        </w:tc>
      </w:tr>
      <w:tr>
        <w:trPr>
          <w:cantSplit/>
        </w:trPr>
        <w:tc>
          <w:tcPr>
            <w:tcW w:type="dxa" w:w="1701"/>
            <w:shd w:val="clear" w:color="auto" w:fill="F1F5F9"/>
          </w:tcPr>
          <w:p>
            <w:pPr>
              <w:spacing w:before="50" w:after="50" w:line="259" w:lineRule="auto"/>
            </w:pPr>
            <w:r/>
            <w:r>
              <w:rPr>
                <w:sz w:val="17"/>
              </w:rPr>
              <w:t>IMD</w:t>
            </w:r>
          </w:p>
        </w:tc>
        <w:tc>
          <w:tcPr>
            <w:tcW w:type="dxa" w:w="7710"/>
            <w:shd w:val="clear" w:color="auto" w:fill="F1F5F9"/>
          </w:tcPr>
          <w:p>
            <w:pPr>
              <w:spacing w:before="50" w:after="50" w:line="259" w:lineRule="auto"/>
            </w:pPr>
            <w:r/>
            <w:r>
              <w:rPr>
                <w:sz w:val="17"/>
              </w:rPr>
              <w:t>India Meteorological Department</w:t>
            </w:r>
          </w:p>
        </w:tc>
      </w:tr>
      <w:tr>
        <w:trPr>
          <w:cantSplit/>
        </w:trPr>
        <w:tc>
          <w:tcPr>
            <w:tcW w:type="dxa" w:w="1701"/>
          </w:tcPr>
          <w:p>
            <w:pPr>
              <w:spacing w:before="50" w:after="50" w:line="259" w:lineRule="auto"/>
            </w:pPr>
            <w:r/>
            <w:r>
              <w:rPr>
                <w:sz w:val="17"/>
              </w:rPr>
              <w:t>INCOIS</w:t>
            </w:r>
          </w:p>
        </w:tc>
        <w:tc>
          <w:tcPr>
            <w:tcW w:type="dxa" w:w="7710"/>
          </w:tcPr>
          <w:p>
            <w:pPr>
              <w:spacing w:before="50" w:after="50" w:line="259" w:lineRule="auto"/>
            </w:pPr>
            <w:r/>
            <w:r>
              <w:rPr>
                <w:sz w:val="17"/>
              </w:rPr>
              <w:t>Indian National Centre for Ocean Information Services — tsunami and ocean alerts</w:t>
            </w:r>
          </w:p>
        </w:tc>
      </w:tr>
      <w:tr>
        <w:trPr>
          <w:cantSplit/>
        </w:trPr>
        <w:tc>
          <w:tcPr>
            <w:tcW w:type="dxa" w:w="1701"/>
            <w:shd w:val="clear" w:color="auto" w:fill="F1F5F9"/>
          </w:tcPr>
          <w:p>
            <w:pPr>
              <w:spacing w:before="50" w:after="50" w:line="259" w:lineRule="auto"/>
            </w:pPr>
            <w:r/>
            <w:r>
              <w:rPr>
                <w:sz w:val="17"/>
              </w:rPr>
              <w:t>MCP</w:t>
            </w:r>
          </w:p>
        </w:tc>
        <w:tc>
          <w:tcPr>
            <w:tcW w:type="dxa" w:w="7710"/>
            <w:shd w:val="clear" w:color="auto" w:fill="F1F5F9"/>
          </w:tcPr>
          <w:p>
            <w:pPr>
              <w:spacing w:before="50" w:after="50" w:line="259" w:lineRule="auto"/>
            </w:pPr>
            <w:r/>
            <w:r>
              <w:rPr>
                <w:sz w:val="17"/>
              </w:rPr>
              <w:t>Model Context Protocol — an open standard for exposing tools, resources and prompts to language models over JSON-RPC</w:t>
            </w:r>
          </w:p>
        </w:tc>
      </w:tr>
      <w:tr>
        <w:trPr>
          <w:cantSplit/>
        </w:trPr>
        <w:tc>
          <w:tcPr>
            <w:tcW w:type="dxa" w:w="1701"/>
          </w:tcPr>
          <w:p>
            <w:pPr>
              <w:spacing w:before="50" w:after="50" w:line="259" w:lineRule="auto"/>
            </w:pPr>
            <w:r/>
            <w:r>
              <w:rPr>
                <w:sz w:val="17"/>
              </w:rPr>
              <w:t>NDMA</w:t>
            </w:r>
          </w:p>
        </w:tc>
        <w:tc>
          <w:tcPr>
            <w:tcW w:type="dxa" w:w="7710"/>
          </w:tcPr>
          <w:p>
            <w:pPr>
              <w:spacing w:before="50" w:after="50" w:line="259" w:lineRule="auto"/>
            </w:pPr>
            <w:r/>
            <w:r>
              <w:rPr>
                <w:sz w:val="17"/>
              </w:rPr>
              <w:t>National Disaster Management Authority of India; operator of the SACHET alert portal</w:t>
            </w:r>
          </w:p>
        </w:tc>
      </w:tr>
      <w:tr>
        <w:trPr>
          <w:cantSplit/>
        </w:trPr>
        <w:tc>
          <w:tcPr>
            <w:tcW w:type="dxa" w:w="1701"/>
            <w:shd w:val="clear" w:color="auto" w:fill="F1F5F9"/>
          </w:tcPr>
          <w:p>
            <w:pPr>
              <w:spacing w:before="50" w:after="50" w:line="259" w:lineRule="auto"/>
            </w:pPr>
            <w:r/>
            <w:r>
              <w:rPr>
                <w:sz w:val="17"/>
              </w:rPr>
              <w:t>NWS</w:t>
            </w:r>
          </w:p>
        </w:tc>
        <w:tc>
          <w:tcPr>
            <w:tcW w:type="dxa" w:w="7710"/>
            <w:shd w:val="clear" w:color="auto" w:fill="F1F5F9"/>
          </w:tcPr>
          <w:p>
            <w:pPr>
              <w:spacing w:before="50" w:after="50" w:line="259" w:lineRule="auto"/>
            </w:pPr>
            <w:r/>
            <w:r>
              <w:rPr>
                <w:sz w:val="17"/>
              </w:rPr>
              <w:t>United States National Weather Service</w:t>
            </w:r>
          </w:p>
        </w:tc>
      </w:tr>
      <w:tr>
        <w:trPr>
          <w:cantSplit/>
        </w:trPr>
        <w:tc>
          <w:tcPr>
            <w:tcW w:type="dxa" w:w="1701"/>
          </w:tcPr>
          <w:p>
            <w:pPr>
              <w:spacing w:before="50" w:after="50" w:line="259" w:lineRule="auto"/>
            </w:pPr>
            <w:r/>
            <w:r>
              <w:rPr>
                <w:sz w:val="17"/>
              </w:rPr>
              <w:t>Overpass</w:t>
            </w:r>
          </w:p>
        </w:tc>
        <w:tc>
          <w:tcPr>
            <w:tcW w:type="dxa" w:w="7710"/>
          </w:tcPr>
          <w:p>
            <w:pPr>
              <w:spacing w:before="50" w:after="50" w:line="259" w:lineRule="auto"/>
            </w:pPr>
            <w:r/>
            <w:r>
              <w:rPr>
                <w:sz w:val="17"/>
              </w:rPr>
              <w:t>A query API over OpenStreetMap data, run on volunteer mirrors</w:t>
            </w:r>
          </w:p>
        </w:tc>
      </w:tr>
      <w:tr>
        <w:trPr>
          <w:cantSplit/>
        </w:trPr>
        <w:tc>
          <w:tcPr>
            <w:tcW w:type="dxa" w:w="1701"/>
            <w:shd w:val="clear" w:color="auto" w:fill="F1F5F9"/>
          </w:tcPr>
          <w:p>
            <w:pPr>
              <w:spacing w:before="50" w:after="50" w:line="259" w:lineRule="auto"/>
            </w:pPr>
            <w:r/>
            <w:r>
              <w:rPr>
                <w:sz w:val="17"/>
              </w:rPr>
              <w:t>PWA</w:t>
            </w:r>
          </w:p>
        </w:tc>
        <w:tc>
          <w:tcPr>
            <w:tcW w:type="dxa" w:w="7710"/>
            <w:shd w:val="clear" w:color="auto" w:fill="F1F5F9"/>
          </w:tcPr>
          <w:p>
            <w:pPr>
              <w:spacing w:before="50" w:after="50" w:line="259" w:lineRule="auto"/>
            </w:pPr>
            <w:r/>
            <w:r>
              <w:rPr>
                <w:sz w:val="17"/>
              </w:rPr>
              <w:t>Progressive web application — an installable, offline-capable web application</w:t>
            </w:r>
          </w:p>
        </w:tc>
      </w:tr>
      <w:tr>
        <w:trPr>
          <w:cantSplit/>
        </w:trPr>
        <w:tc>
          <w:tcPr>
            <w:tcW w:type="dxa" w:w="1701"/>
          </w:tcPr>
          <w:p>
            <w:pPr>
              <w:spacing w:before="50" w:after="50" w:line="259" w:lineRule="auto"/>
            </w:pPr>
            <w:r/>
            <w:r>
              <w:rPr>
                <w:sz w:val="17"/>
              </w:rPr>
              <w:t>WMO code</w:t>
            </w:r>
          </w:p>
        </w:tc>
        <w:tc>
          <w:tcPr>
            <w:tcW w:type="dxa" w:w="7710"/>
          </w:tcPr>
          <w:p>
            <w:pPr>
              <w:spacing w:before="50" w:after="50" w:line="259" w:lineRule="auto"/>
            </w:pPr>
            <w:r/>
            <w:r>
              <w:rPr>
                <w:sz w:val="17"/>
              </w:rPr>
              <w:t>The World Meteorological Organization's numeric weather-condition code, translated to English in live_service.WMO</w:t>
            </w:r>
          </w:p>
        </w:tc>
      </w:tr>
    </w:tbl>
    <w:p>
      <w:pPr>
        <w:spacing w:after="0"/>
      </w:pPr>
    </w:p>
    <w:p>
      <w:pPr>
        <w:spacing w:after="320"/>
      </w:pPr>
    </w:p>
    <w:p>
      <w:pPr>
        <w:pBdr>
          <w:bottom w:val="single" w:sz="6" w:space="2" w:color="C7D2DE"/>
        </w:pBdr>
      </w:pPr>
      <w:r>
        <w:rPr>
          <w:i w:val="0"/>
        </w:rPr>
      </w:r>
    </w:p>
    <w:p>
      <w:r>
        <w:rPr>
          <w:i/>
          <w:color w:val="6B7280"/>
          <w:sz w:val="18"/>
        </w:rPr>
        <w:t>End of document. Sections 1 to 4 describe reviewed code; inferred components are marked in Table 8. Sections 6 and 7 are proposals for discussion.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heyBro — Technical Documentation v0.1   ·   </w:t>
    </w:r>
    <w:r>
      <w:rPr>
        <w:color w:val="6B728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4304A"/>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i w:val="0"/>
      <w:color w:val="14304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i w:val="0"/>
      <w:color w:val="455569"/>
      <w:sz w:val="23"/>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val="0"/>
      <w:iCs/>
      <w:color w:val="45556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