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160" w:afterAutospacing="0"/>
        <w:jc w:val="both"/>
        <w:rPr>
          <w:rFonts w:hint="default"/>
          <w:lang w:val="en-US"/>
        </w:rPr>
      </w:pPr>
      <w:r>
        <w:rPr>
          <w:b/>
          <w:bCs/>
          <w:color w:val="000000"/>
        </w:rPr>
        <w:t xml:space="preserve">Name : </w:t>
      </w:r>
      <w:r>
        <w:rPr>
          <w:rFonts w:hint="default"/>
          <w:b/>
          <w:bCs/>
          <w:color w:val="000000"/>
          <w:lang w:val="en-US"/>
        </w:rPr>
        <w:t>Monalisha Mallick</w:t>
      </w:r>
    </w:p>
    <w:p>
      <w:pPr>
        <w:pStyle w:val="5"/>
        <w:spacing w:before="0" w:beforeAutospacing="0" w:after="160" w:afterAutospacing="0"/>
        <w:jc w:val="both"/>
        <w:rPr>
          <w:rFonts w:hint="default"/>
          <w:lang w:val="en-US"/>
        </w:rPr>
      </w:pPr>
      <w:r>
        <w:rPr>
          <w:b/>
          <w:bCs/>
          <w:color w:val="000000"/>
        </w:rPr>
        <w:t xml:space="preserve">Email: </w:t>
      </w:r>
      <w:r>
        <w:rPr>
          <w:rFonts w:hint="default"/>
          <w:lang w:val="en-US"/>
        </w:rPr>
        <w:fldChar w:fldCharType="begin"/>
      </w:r>
      <w:r>
        <w:rPr>
          <w:rFonts w:hint="default"/>
          <w:lang w:val="en-US"/>
        </w:rPr>
        <w:instrText xml:space="preserve"> HYPERLINK "mailto:mallickmonalisha@gmail.com" </w:instrText>
      </w:r>
      <w:r>
        <w:rPr>
          <w:rFonts w:hint="default"/>
          <w:lang w:val="en-US"/>
        </w:rPr>
        <w:fldChar w:fldCharType="separate"/>
      </w:r>
      <w:r>
        <w:rPr>
          <w:rStyle w:val="4"/>
          <w:rFonts w:hint="default"/>
          <w:lang w:val="en-US"/>
        </w:rPr>
        <w:t>mallickmonalisha@gmail.com</w:t>
      </w:r>
      <w:r>
        <w:rPr>
          <w:rFonts w:hint="default"/>
          <w:lang w:val="en-US"/>
        </w:rPr>
        <w:fldChar w:fldCharType="end"/>
      </w:r>
      <w:r>
        <w:rPr>
          <w:rFonts w:hint="default"/>
          <w:lang w:val="en-US"/>
        </w:rPr>
        <w:t xml:space="preserve"> </w:t>
      </w:r>
    </w:p>
    <w:p>
      <w:pPr>
        <w:pStyle w:val="5"/>
        <w:spacing w:before="0" w:beforeAutospacing="0" w:after="160" w:afterAutospacing="0"/>
        <w:jc w:val="both"/>
        <w:rPr>
          <w:rFonts w:hint="default"/>
          <w:lang w:val="en-US"/>
        </w:rPr>
      </w:pPr>
      <w:r>
        <w:rPr>
          <w:b/>
          <w:bCs/>
          <w:color w:val="000000"/>
        </w:rPr>
        <w:t xml:space="preserve">Mob. Number: </w:t>
      </w:r>
      <w:r>
        <w:rPr>
          <w:rFonts w:hint="default"/>
          <w:b/>
          <w:bCs/>
          <w:color w:val="000000"/>
          <w:lang w:val="en-US"/>
        </w:rPr>
        <w:t>7853995200</w:t>
      </w:r>
      <w:bookmarkStart w:id="0" w:name="_GoBack"/>
      <w:bookmarkEnd w:id="0"/>
    </w:p>
    <w:p>
      <w:pPr>
        <w:pStyle w:val="5"/>
        <w:spacing w:before="0" w:beforeAutospacing="0" w:after="160" w:afterAutospacing="0"/>
        <w:jc w:val="both"/>
        <w:rPr>
          <w:b/>
          <w:bCs/>
          <w:color w:val="000000"/>
        </w:rPr>
      </w:pPr>
      <w:r>
        <w:rPr>
          <w:b/>
          <w:bCs/>
          <w:color w:val="000000"/>
        </w:rPr>
        <w:t>Intern : Financial Modelling</w:t>
      </w:r>
    </w:p>
    <w:p>
      <w:pPr>
        <w:pStyle w:val="5"/>
        <w:spacing w:before="0" w:beforeAutospacing="0" w:after="160" w:afterAutospacing="0"/>
        <w:jc w:val="both"/>
      </w:pPr>
    </w:p>
    <w:p>
      <w:pPr>
        <w:spacing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Smart Task -3</w:t>
      </w:r>
    </w:p>
    <w:p>
      <w:pPr>
        <w:spacing w:line="360" w:lineRule="auto"/>
        <w:jc w:val="both"/>
        <w:rPr>
          <w:rFonts w:ascii="Times New Roman" w:hAnsi="Times New Roman" w:cs="Times New Roman"/>
          <w:b/>
          <w:bCs/>
          <w:color w:val="000000"/>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Question1: How a new venture is assessed to qualify as project finance. What are the factors that needed to be considered?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 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new venture's feasibility and suitability for financing must be thoroughly assessed when evaluating it for project finance. The main factors are listed below in further detail:</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Project Qualities:</w:t>
      </w:r>
      <w:r>
        <w:rPr>
          <w:rFonts w:ascii="Times New Roman" w:hAnsi="Times New Roman" w:cs="Times New Roman"/>
          <w:color w:val="333F50" w:themeColor="text2" w:themeShade="BF"/>
          <w:sz w:val="24"/>
          <w:szCs w:val="24"/>
        </w:rPr>
        <w:t xml:space="preserve"> </w:t>
      </w:r>
      <w:r>
        <w:rPr>
          <w:rFonts w:ascii="Times New Roman" w:hAnsi="Times New Roman" w:cs="Times New Roman"/>
          <w:sz w:val="24"/>
          <w:szCs w:val="24"/>
        </w:rPr>
        <w:t>A project's nature and characteristics are key factors in deciding whether or not it qualifies for project financing. The project's size, complexity, and duration are all taken into consideration. Large-scale, long-term endeavours like building power plants, developing natural resources, and infrastructure projects frequently use project finance.</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Revenue Generation:</w:t>
      </w:r>
      <w:r>
        <w:rPr>
          <w:rFonts w:ascii="Times New Roman" w:hAnsi="Times New Roman" w:cs="Times New Roman"/>
          <w:sz w:val="24"/>
          <w:szCs w:val="24"/>
        </w:rPr>
        <w:t xml:space="preserve"> It's critical that the project be able to produce consistent and ample revenue flows. The evaluation is concentrated on the project's revenue streams, such as contracted payments, tariffs, tolls, or sales of goods and services. To make sure the revenue stream can support operational expenditures, debt repayments, and a sufficient return on investment, evaluators assess the stream's stability and predictability.</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Contractual Basis:</w:t>
      </w:r>
      <w:r>
        <w:rPr>
          <w:rFonts w:ascii="Times New Roman" w:hAnsi="Times New Roman" w:cs="Times New Roman"/>
          <w:sz w:val="24"/>
          <w:szCs w:val="24"/>
        </w:rPr>
        <w:t xml:space="preserve"> A strong and dependable legal framework is essential to project financing. The contractual framework of the project, including off-take agreements, power purchase agreements, construction contracts, and operation and maintenance agreements, is examined by the evaluators. These agreements set forth the legal and financial responsibilities of different parties and reduce the risks related to cost control and income production.</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Risk Assessment:</w:t>
      </w:r>
      <w:r>
        <w:rPr>
          <w:rFonts w:ascii="Times New Roman" w:hAnsi="Times New Roman" w:cs="Times New Roman"/>
          <w:sz w:val="24"/>
          <w:szCs w:val="24"/>
        </w:rPr>
        <w:t xml:space="preserve"> To identify and evaluate any hazards related to the project, a thorough risk assessment is carried out. Analysing political, regulatory, legal, environmental, operational, and market risks is a part of this process. To make sure that the project can efficiently manage and mitigate these risks, evaluators examine risk allocation procedures, insurance coverage, contingency plans, and risk mitigation techniques.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Financial Framework:</w:t>
      </w:r>
      <w:r>
        <w:rPr>
          <w:rFonts w:ascii="Times New Roman" w:hAnsi="Times New Roman" w:cs="Times New Roman"/>
          <w:sz w:val="24"/>
          <w:szCs w:val="24"/>
        </w:rPr>
        <w:t xml:space="preserve"> The project's financial structure is carefully analysed to ascertain its viability. The project's overall financial feasibility as well as its capital structure, debt-to-equity ratio, and funding sources are all evaluated. To make sure the project can meet debt payback commitments, they examine the predicted cash flows, financial ratios, debt service coverage ratio, and other financial indicators.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Project Sponsor and Management:</w:t>
      </w:r>
      <w:r>
        <w:rPr>
          <w:rFonts w:ascii="Times New Roman" w:hAnsi="Times New Roman" w:cs="Times New Roman"/>
          <w:sz w:val="24"/>
          <w:szCs w:val="24"/>
        </w:rPr>
        <w:t xml:space="preserve"> The project sponsor and management team's qualifications, track record, and financial stability are assessed. It is crucial for the project sponsor to be able to gather resources, manage the project well, and guarantee its successful conclusion. The sponsor's financial standing, prior expertise in the industry, and the team's capacity to carry out and manage the project are all taken into account by the evaluators.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Economic and Market Analysis:</w:t>
      </w:r>
      <w:r>
        <w:rPr>
          <w:rFonts w:ascii="Times New Roman" w:hAnsi="Times New Roman" w:cs="Times New Roman"/>
          <w:sz w:val="24"/>
          <w:szCs w:val="24"/>
        </w:rPr>
        <w:t xml:space="preserve"> The project's immediate economic and market environment is evaluated. Evaluators look at things including supply and demand dynamics, market demand, competition, economic development expectations, and the regulatory environment. This study aids in evaluating the project's market potential and chances of realising the anticipated financial results.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Considerations for the Environment and Society</w:t>
      </w:r>
      <w:r>
        <w:rPr>
          <w:rFonts w:ascii="Times New Roman" w:hAnsi="Times New Roman" w:cs="Times New Roman"/>
          <w:sz w:val="24"/>
          <w:szCs w:val="24"/>
        </w:rPr>
        <w:t>: Environmental and social implications are becoming more significant in project finance analyses. Assessors look at how well the project complies with environmental laws, how it affects the neighbourhood, and how it follows sustainable practises. This evaluation makes that the project complies with environmental and social standards and helps to lessen any negative effects.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be eligible for project finance, a project must generally show a high likelihood of generating revenue, a strong contractual foundation, adequate risk management, a sustainable financial structure, competent management, favourable economic conditions, and adherence to environmental and social norms. These elements are thoroughly analysed as part of the appraisal process to ascertain the project's financial feasibility and eligibility for financing.</w:t>
      </w:r>
    </w:p>
    <w:p>
      <w:pPr>
        <w:spacing w:line="360" w:lineRule="auto"/>
        <w:jc w:val="both"/>
        <w:rPr>
          <w:rFonts w:ascii="Times New Roman" w:hAnsi="Times New Roman" w:cs="Times New Roman"/>
          <w:sz w:val="24"/>
          <w:szCs w:val="24"/>
        </w:rPr>
      </w:pPr>
    </w:p>
    <w:p>
      <w:pPr>
        <w:spacing w:after="0" w:line="360" w:lineRule="auto"/>
        <w:jc w:val="both"/>
        <w:rPr>
          <w:rFonts w:ascii="Times New Roman" w:hAnsi="Times New Roman" w:eastAsia="Times New Roman" w:cs="Times New Roman"/>
          <w:b/>
          <w:bCs/>
          <w:kern w:val="0"/>
          <w:sz w:val="24"/>
          <w:szCs w:val="24"/>
          <w:lang w:eastAsia="en-IN"/>
          <w14:ligatures w14:val="none"/>
        </w:rPr>
      </w:pPr>
    </w:p>
    <w:p>
      <w:pPr>
        <w:spacing w:after="0" w:line="360" w:lineRule="auto"/>
        <w:jc w:val="both"/>
        <w:textAlignment w:val="baseline"/>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Question2 : Explain in detail the revenue model ( process of generating revenue) for Solar PV Project, Residential Building, Manufacturing Unit and other PPP projects.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Answer 2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revenue model serves as a framework that outlines the strategies employed by a business or project to generate income. It defines the approach through which the entity monetizes its assets, products, or services to generate financial returns. The revenue model may differ across various project types and industries. Let's delve into the revenue models for specific projects, such as Solar PV Projects, Residential Buildings, Manufacturing Units, and PPP (Public-Private Partnership) projects:</w:t>
      </w:r>
    </w:p>
    <w:p>
      <w:pPr>
        <w:spacing w:line="360" w:lineRule="auto"/>
        <w:jc w:val="both"/>
        <w:rPr>
          <w:rFonts w:ascii="Times New Roman" w:hAnsi="Times New Roman" w:cs="Times New Roman"/>
          <w:b/>
          <w:bCs/>
          <w:color w:val="333F50" w:themeColor="text2" w:themeShade="BF"/>
          <w:sz w:val="24"/>
          <w:szCs w:val="24"/>
        </w:rPr>
      </w:pPr>
    </w:p>
    <w:p>
      <w:pPr>
        <w:spacing w:line="360" w:lineRule="auto"/>
        <w:jc w:val="both"/>
        <w:rPr>
          <w:rFonts w:ascii="Times New Roman" w:hAnsi="Times New Roman" w:cs="Times New Roman"/>
          <w:b/>
          <w:bCs/>
          <w:color w:val="333F50" w:themeColor="text2" w:themeShade="BF"/>
          <w:sz w:val="24"/>
          <w:szCs w:val="24"/>
        </w:rPr>
      </w:pPr>
      <w:r>
        <w:rPr>
          <w:rFonts w:ascii="Times New Roman" w:hAnsi="Times New Roman" w:cs="Times New Roman"/>
          <w:b/>
          <w:bCs/>
          <w:color w:val="333F50" w:themeColor="text2" w:themeShade="BF"/>
          <w:sz w:val="24"/>
          <w:szCs w:val="24"/>
        </w:rPr>
        <w:t>Revenue Model for Solar PV Projects: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Solar PV projects primarily generate revenue by selling the electricity produced by solar panels. The revenue model commonly includes the following components: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a) Power Purchase Agreements (PPAs):</w:t>
      </w:r>
      <w:r>
        <w:rPr>
          <w:rFonts w:ascii="Times New Roman" w:hAnsi="Times New Roman" w:cs="Times New Roman"/>
          <w:sz w:val="24"/>
          <w:szCs w:val="24"/>
        </w:rPr>
        <w:t xml:space="preserve"> Project developers establish long-term contracts, known as PPAs, with electricity consumers, such as utilities or commercial entities. The revenue is derived from selling electricity at predetermined tariff rates over the duration of the contract.</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b) Feed-in Tariffs (FiTs) or Incentives:</w:t>
      </w:r>
      <w:r>
        <w:rPr>
          <w:rFonts w:ascii="Times New Roman" w:hAnsi="Times New Roman" w:cs="Times New Roman"/>
          <w:sz w:val="24"/>
          <w:szCs w:val="24"/>
        </w:rPr>
        <w:t xml:space="preserve"> Some governments provide feed-in tariffs or other incentives to incentivize renewable energy adoption. Solar PV projects can generate revenue by participating in these programs, which offer fixed payments for each kilowatt-hour of electricity generated.</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c) Net Metering</w:t>
      </w:r>
      <w:r>
        <w:rPr>
          <w:rFonts w:ascii="Times New Roman" w:hAnsi="Times New Roman" w:cs="Times New Roman"/>
          <w:sz w:val="24"/>
          <w:szCs w:val="24"/>
        </w:rPr>
        <w:t>: Residential solar PV systems can leverage net metering, enabling homeowners to sell excess electricity back to the grid. This arrangement allows them to earn credits or receive payments for the surplus energy generated.</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 xml:space="preserve">d) Renewable Energy Certificates (RECs): </w:t>
      </w:r>
      <w:r>
        <w:rPr>
          <w:rFonts w:ascii="Times New Roman" w:hAnsi="Times New Roman" w:cs="Times New Roman"/>
          <w:sz w:val="24"/>
          <w:szCs w:val="24"/>
        </w:rPr>
        <w:t>Solar PV projects can generate additional revenue by selling Renewable Energy Certificates. These certificates represent the environmental benefits associated with clean energy generation. Entities seeking to offset their carbon emissions or meet renewable energy targets purchase these certificates.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color w:val="333F50" w:themeColor="text2" w:themeShade="BF"/>
          <w:sz w:val="24"/>
          <w:szCs w:val="24"/>
        </w:rPr>
      </w:pPr>
      <w:r>
        <w:rPr>
          <w:rFonts w:ascii="Times New Roman" w:hAnsi="Times New Roman" w:cs="Times New Roman"/>
          <w:b/>
          <w:bCs/>
          <w:color w:val="333F50" w:themeColor="text2" w:themeShade="BF"/>
          <w:sz w:val="24"/>
          <w:szCs w:val="24"/>
        </w:rPr>
        <w:t>Revenue Model for Residential Buildings: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revenue model for residential buildings primarily revolves around property rental or sales. The key revenue streams include: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a) Rental Income:</w:t>
      </w:r>
      <w:r>
        <w:rPr>
          <w:rFonts w:ascii="Times New Roman" w:hAnsi="Times New Roman" w:cs="Times New Roman"/>
          <w:sz w:val="24"/>
          <w:szCs w:val="24"/>
        </w:rPr>
        <w:t xml:space="preserve"> Residential buildings generate revenue through rental income received from tenants occupying the premises. The rental rates are typically determined by lease agreements and prevailing market rates.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b) Property Sales:</w:t>
      </w:r>
      <w:r>
        <w:rPr>
          <w:rFonts w:ascii="Times New Roman" w:hAnsi="Times New Roman" w:cs="Times New Roman"/>
          <w:sz w:val="24"/>
          <w:szCs w:val="24"/>
        </w:rPr>
        <w:t xml:space="preserve"> The revenue model may also include selling individual residential units within the building. Developers or owners sell apartments or houses to buyers, generating revenue through property sales.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c) Amenities and Services:</w:t>
      </w:r>
      <w:r>
        <w:rPr>
          <w:rFonts w:ascii="Times New Roman" w:hAnsi="Times New Roman" w:cs="Times New Roman"/>
          <w:sz w:val="24"/>
          <w:szCs w:val="24"/>
        </w:rPr>
        <w:t xml:space="preserve"> Some residential buildings offer additional amenities and services, such as fitness centers, parking spaces, concierge services, or shared workspaces. Revenue can be generated by charging fees or memberships for these value-added services.</w:t>
      </w:r>
    </w:p>
    <w:p>
      <w:pPr>
        <w:spacing w:line="360" w:lineRule="auto"/>
        <w:jc w:val="both"/>
        <w:rPr>
          <w:rFonts w:ascii="Times New Roman" w:hAnsi="Times New Roman" w:cs="Times New Roman"/>
          <w:b/>
          <w:bCs/>
          <w:color w:val="333F50" w:themeColor="text2" w:themeShade="BF"/>
          <w:sz w:val="24"/>
          <w:szCs w:val="24"/>
        </w:rPr>
      </w:pPr>
      <w:r>
        <w:rPr>
          <w:rFonts w:ascii="Times New Roman" w:hAnsi="Times New Roman" w:cs="Times New Roman"/>
          <w:b/>
          <w:bCs/>
          <w:color w:val="333F50" w:themeColor="text2" w:themeShade="BF"/>
          <w:sz w:val="24"/>
          <w:szCs w:val="24"/>
        </w:rPr>
        <w:t>Revenue Model for Manufacturing Units: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revenue model for manufacturing units primarily relies on the production and sale of goods. Key elements of this revenue model include:</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a) Product Sales</w:t>
      </w:r>
      <w:r>
        <w:rPr>
          <w:rFonts w:ascii="Times New Roman" w:hAnsi="Times New Roman" w:cs="Times New Roman"/>
          <w:sz w:val="24"/>
          <w:szCs w:val="24"/>
        </w:rPr>
        <w:t>: Manufacturing units generate revenue by selling their products directly to end-users, wholesalers, retailers, or distributors.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b) Distribution Channels</w:t>
      </w:r>
      <w:r>
        <w:rPr>
          <w:rFonts w:ascii="Times New Roman" w:hAnsi="Times New Roman" w:cs="Times New Roman"/>
          <w:sz w:val="24"/>
          <w:szCs w:val="24"/>
        </w:rPr>
        <w:t>: Manufacturers may utilize distribution channels to reach a broader customer base. They may sell products through distributors or agents who earn commissions based on sales.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c) After-sales Services</w:t>
      </w:r>
      <w:r>
        <w:rPr>
          <w:rFonts w:ascii="Times New Roman" w:hAnsi="Times New Roman" w:cs="Times New Roman"/>
          <w:sz w:val="24"/>
          <w:szCs w:val="24"/>
        </w:rPr>
        <w:t>: Some manufacturing units provide after-sales services, such as maintenance, repairs, or warranty services. Revenue can be generated by charging fees for these services.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d) Licensing and Royalties:</w:t>
      </w:r>
      <w:r>
        <w:rPr>
          <w:rFonts w:ascii="Times New Roman" w:hAnsi="Times New Roman" w:cs="Times New Roman"/>
          <w:sz w:val="24"/>
          <w:szCs w:val="24"/>
        </w:rPr>
        <w:t xml:space="preserve"> In certain cases, manufacturing units may generate revenue by licensing their intellectual property or technology to other companies. They receive royalties based on product sales or usage.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color w:val="333F50" w:themeColor="text2" w:themeShade="BF"/>
          <w:sz w:val="24"/>
          <w:szCs w:val="24"/>
        </w:rPr>
      </w:pPr>
      <w:r>
        <w:rPr>
          <w:rFonts w:ascii="Times New Roman" w:hAnsi="Times New Roman" w:cs="Times New Roman"/>
          <w:b/>
          <w:bCs/>
          <w:color w:val="333F50" w:themeColor="text2" w:themeShade="BF"/>
          <w:sz w:val="24"/>
          <w:szCs w:val="24"/>
        </w:rPr>
        <w:t>Revenue Model for PPP Projects: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PPP projects involve collaborations between the public and private sectors. The revenue model for such projects varies based on the specific project type but generally includes the following revenue streams: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a) User Fees or Tariffs:</w:t>
      </w:r>
      <w:r>
        <w:rPr>
          <w:rFonts w:ascii="Times New Roman" w:hAnsi="Times New Roman" w:cs="Times New Roman"/>
          <w:sz w:val="24"/>
          <w:szCs w:val="24"/>
        </w:rPr>
        <w:t xml:space="preserve"> PPP projects that provide public services like toll roads, bridges, or airports generate revenue through user fees or tariffs paid by the users or customers of those services.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b) Availability Payments</w:t>
      </w:r>
      <w:r>
        <w:rPr>
          <w:rFonts w:ascii="Times New Roman" w:hAnsi="Times New Roman" w:cs="Times New Roman"/>
          <w:sz w:val="24"/>
          <w:szCs w:val="24"/>
        </w:rPr>
        <w:t>: In some instances, the government or public entity pays the private partner regular availability payments to ensure the project's financial sustainability. These payments are made to compensate the private partner for maintaining the availability and quality of the public service provided.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Question 3: What should be the additional points that needed to be included in a financial model, if the financing bank is from abroad and the debt is in US$ but revenue is in INR.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Answer 3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When constructing a financial model for a project with a foreign bank providing USD-denominated debt while revenue is in INR, there are several additional factors to consider. These factors address currency exchange risks and ensure the accuracy of financial projections. Here are some key points to include: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Exchange Rate Assumptions:</w:t>
      </w:r>
      <w:r>
        <w:rPr>
          <w:rFonts w:ascii="Times New Roman" w:hAnsi="Times New Roman" w:cs="Times New Roman"/>
          <w:sz w:val="24"/>
          <w:szCs w:val="24"/>
        </w:rPr>
        <w:t xml:space="preserve"> Incorporate assumptions about exchange rates into the financial model. Consider historical trends, economic factors, and expert forecasts to estimate the USD to INR exchange rate over the projected period. Sensitivity analysis can also be conducted to assess the impact of exchange rate fluctuations on the project's financials.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Hedging Strategies:</w:t>
      </w:r>
      <w:r>
        <w:rPr>
          <w:rFonts w:ascii="Times New Roman" w:hAnsi="Times New Roman" w:cs="Times New Roman"/>
          <w:sz w:val="24"/>
          <w:szCs w:val="24"/>
        </w:rPr>
        <w:t xml:space="preserve"> Evaluate strategies to mitigate currency exchange risk. Explore options such as forward contracts, currency swaps, or other hedging instruments that can help stabilize cash flows and minimize the effects of exchange rate volatility.</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Interest Rate Considerations:</w:t>
      </w:r>
      <w:r>
        <w:rPr>
          <w:rFonts w:ascii="Times New Roman" w:hAnsi="Times New Roman" w:cs="Times New Roman"/>
          <w:sz w:val="24"/>
          <w:szCs w:val="24"/>
        </w:rPr>
        <w:t xml:space="preserve"> Assess the interest rate associated with the USD-denominated debt. Determine whether it is fixed or variable and incorporate it into the financial model. Consider the potential impact of interest rate changes on debt servicing costs.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Debt Service Coverage:</w:t>
      </w:r>
      <w:r>
        <w:rPr>
          <w:rFonts w:ascii="Times New Roman" w:hAnsi="Times New Roman" w:cs="Times New Roman"/>
          <w:sz w:val="24"/>
          <w:szCs w:val="24"/>
        </w:rPr>
        <w:t xml:space="preserve"> Calculate the debt service coverage ratio (DSCR) using the projected INR revenue and USD-denominated debt payments. This ratio demonstrates the project's ability to generate sufficient cash flow in INR to cover the debt obligations in USD.</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Revenue Conversion:</w:t>
      </w:r>
      <w:r>
        <w:rPr>
          <w:rFonts w:ascii="Times New Roman" w:hAnsi="Times New Roman" w:cs="Times New Roman"/>
          <w:sz w:val="24"/>
          <w:szCs w:val="24"/>
        </w:rPr>
        <w:t xml:space="preserve"> Include a mechanism to convert INR revenue into USD for debt repayment purposes. This conversion can be based on the prevailing exchange rate or specific conversion agreements with the bank.</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Inflation Considerations</w:t>
      </w:r>
      <w:r>
        <w:rPr>
          <w:rFonts w:ascii="Times New Roman" w:hAnsi="Times New Roman" w:cs="Times New Roman"/>
          <w:sz w:val="24"/>
          <w:szCs w:val="24"/>
        </w:rPr>
        <w:t>: Account for inflation differentials between the two currencies. Take into consideration that inflation rates in India and the United States may differ and incorporate appropriate inflation assumptions for accurate financial modeling.</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Tax Implications:</w:t>
      </w:r>
      <w:r>
        <w:rPr>
          <w:rFonts w:ascii="Times New Roman" w:hAnsi="Times New Roman" w:cs="Times New Roman"/>
          <w:sz w:val="24"/>
          <w:szCs w:val="24"/>
        </w:rPr>
        <w:t xml:space="preserve"> Consider the tax implications related to currency exchange gains or losses. Understand the tax regulations in both countries and their impact on the project's financials.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Financial Reporting:</w:t>
      </w:r>
      <w:r>
        <w:rPr>
          <w:rFonts w:ascii="Times New Roman" w:hAnsi="Times New Roman" w:cs="Times New Roman"/>
          <w:sz w:val="24"/>
          <w:szCs w:val="24"/>
        </w:rPr>
        <w:t xml:space="preserve"> Ensure that the financial model provides separate reporting for INR and USD. This facilitates clear communication and transparency for stakeholders, including the financing bank.</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Sensitivity Analysis:</w:t>
      </w:r>
      <w:r>
        <w:rPr>
          <w:rFonts w:ascii="Times New Roman" w:hAnsi="Times New Roman" w:cs="Times New Roman"/>
          <w:sz w:val="24"/>
          <w:szCs w:val="24"/>
        </w:rPr>
        <w:t xml:space="preserve"> Perform sensitivity analysis to assess the project's vulnerability to changes in exchange rates, interest rates, and other relevant factors. This analysis helps identify potential risks and provides insights into the project's resilience under different scenarios.</w:t>
      </w:r>
    </w:p>
    <w:p>
      <w:pPr>
        <w:spacing w:line="360" w:lineRule="auto"/>
        <w:jc w:val="both"/>
        <w:rPr>
          <w:rFonts w:ascii="Times New Roman" w:hAnsi="Times New Roman" w:cs="Times New Roman"/>
          <w:sz w:val="24"/>
          <w:szCs w:val="24"/>
        </w:rPr>
      </w:pPr>
      <w:r>
        <w:rPr>
          <w:rFonts w:ascii="Times New Roman" w:hAnsi="Times New Roman" w:cs="Times New Roman"/>
          <w:b/>
          <w:bCs/>
          <w:color w:val="333F50" w:themeColor="text2" w:themeShade="BF"/>
          <w:sz w:val="24"/>
          <w:szCs w:val="24"/>
        </w:rPr>
        <w:t>Communication with Financing Bank</w:t>
      </w:r>
      <w:r>
        <w:rPr>
          <w:rFonts w:ascii="Times New Roman" w:hAnsi="Times New Roman" w:cs="Times New Roman"/>
          <w:sz w:val="24"/>
          <w:szCs w:val="24"/>
        </w:rPr>
        <w:t>: Maintain regular communication with the financing bank to discuss currency exchange risks, hedge strategies, and any other relevant considerations. Collaborate with the bank to align financial projections and address any concerns or requirements related to currency fluctuations.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43"/>
    <w:rsid w:val="00256C43"/>
    <w:rsid w:val="004A0F5A"/>
    <w:rsid w:val="00D81B4F"/>
    <w:rsid w:val="4A3F66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1795</Words>
  <Characters>10236</Characters>
  <Lines>85</Lines>
  <Paragraphs>24</Paragraphs>
  <TotalTime>20</TotalTime>
  <ScaleCrop>false</ScaleCrop>
  <LinksUpToDate>false</LinksUpToDate>
  <CharactersWithSpaces>12007</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2023-06-14T03:38:00Z</dcterms:created>
  <dc:creator>Akash Srivastava</dc:creator>
  <cp:lastModifiedBy>Monalisha mallick</cp:lastModifiedBy>
  <dcterms:modified xsi:type="dcterms:W3CDTF">2024-01-14T11:17:34Z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48c8268c-2873-4e3a-bb20-e8c439b61dc1</vt:lpwstr>
  </property>
  <property fmtid="{D5CDD505-2E9C-101B-9397-08002B2CF9AE}" pid="3" name="KSOProductBuildVer">
    <vt:lpwstr>1033-12.2.0.13412</vt:lpwstr>
  </property>
  <property fmtid="{D5CDD505-2E9C-101B-9397-08002B2CF9AE}" pid="4" name="ICV">
    <vt:lpwstr>FB6DD2AA75C641D891E671DC95338C5F_12</vt:lpwstr>
  </property>
</Properties>
</file>