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MONASH NEXUS FOR</w:t>
      </w:r>
    </w:p>
    <w:p>
      <w:pPr>
        <w:jc w:val="center"/>
      </w:pPr>
      <w:r>
        <w:rPr>
          <w:b/>
          <w:bCs/>
          <w:sz w:val="56"/>
          <w:szCs w:val="56"/>
        </w:rPr>
        <w:t xml:space="preserve">EMERGING TECHNOLOGIES</w:t>
      </w:r>
    </w:p>
    <w:p>
      <w:pPr>
        <w:spacing w:before="240"/>
        <w:jc w:val="center"/>
      </w:pPr>
      <w:r>
        <w:rPr>
          <w:b/>
          <w:bCs/>
          <w:color w:val="DC003B"/>
          <w:sz w:val="44"/>
          <w:szCs w:val="44"/>
        </w:rPr>
        <w:t xml:space="preserve">CONSTITUTION</w:t>
      </w:r>
    </w:p>
    <w:p>
      <w:pPr>
        <w:spacing w:before="360"/>
        <w:jc w:val="center"/>
      </w:pPr>
      <w:r>
        <w:rPr>
          <w:b/>
          <w:bCs/>
          <w:sz w:val="26"/>
          <w:szCs w:val="26"/>
        </w:rPr>
        <w:t xml:space="preserve">DRAFT v0.3 — 10 July 2026</w:t>
      </w:r>
    </w:p>
    <w:p>
      <w:pPr>
        <w:spacing w:before="120"/>
        <w:jc w:val="center"/>
      </w:pPr>
      <w:r>
        <w:rPr>
          <w:i/>
          <w:iCs/>
          <w:color w:val="6B6B6B"/>
          <w:sz w:val="20"/>
          <w:szCs w:val="20"/>
        </w:rPr>
        <w:t xml:space="preserve">Consolidates the team’s working DRAFT MNET Constitution (Google Docs) with the policies recorded in the Team Lead Handover [2023–5], the MNET General Handover, the Operations Handover, and the 2025 Prospectus. Prepared for review by the MNET Leadership Team; not yet ratified.</w:t>
      </w:r>
    </w:p>
    <w:p>
      <w:pPr>
        <w:spacing w:before="160"/>
        <w:jc w:val="center"/>
      </w:pPr>
      <w:r>
        <w:rPr>
          <w:i/>
          <w:iCs/>
          <w:sz w:val="22"/>
          <w:szCs w:val="22"/>
        </w:rPr>
        <w:t xml:space="preserve">“Enter the Digital Frontier” · “Access, Upskill, Engage” · “Expanding all horizons.”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Preamble</w:t>
      </w:r>
    </w:p>
    <w:p>
      <w:pPr>
        <w:spacing w:after="120"/>
      </w:pPr>
      <w:r>
        <w:t xml:space="preserve">Monash Nexus for Emerging Technologies (MNET) is a student team under the Monash Student Team Initiative (MSTI). Everything the team does falls under the umbrella of simulation technologies — for example XR and immersive media, digital twins, and quantum computing — and “emerging” is read as technologies emerging from the digital realm into the physical: enter the digital frontier. The team is deliberately broad; robotics and other up-and-coming technologies are not out of bounds.</w:t>
      </w:r>
    </w:p>
    <w:p>
      <w:pPr>
        <w:spacing w:after="120"/>
      </w:pPr>
      <w:r>
        <w:t xml:space="preserve">Our mission is to act as a meeting point between students, industry professionals and academics in the field of emerging technology so that each can benefit from the relationship. Students, forward-thinking yet resource poor, are given access to cutting-edge technology, whilst industry and academia benefit from the creativity and excitement of our student members.</w:t>
      </w:r>
    </w:p>
    <w:p>
      <w:pPr>
        <w:spacing w:after="120"/>
      </w:pPr>
      <w:r>
        <w:t xml:space="preserve">MNET’s core philosophical values are innovation, collaboration, and excellence (“ICE”). We seek to embody these values through our technical, design, and operational initiatives.</w:t>
      </w:r>
    </w:p>
    <w:p>
      <w:pPr>
        <w:spacing w:after="120"/>
      </w:pPr>
      <w:r>
        <w:t xml:space="preserve">From its outset the team has valued diversity — of gender, sexual orientation, race, origin, and age — and continues to promote internal diversity by recruiting competent applicants of diverse backgrounds and empowering them to guide the team’s holistic perspective. There is no future in homogeneity.</w:t>
      </w:r>
    </w:p>
    <w:p>
      <w:pPr>
        <w:spacing w:after="160"/>
      </w:pPr>
      <w:r>
        <w:rPr>
          <w:i/>
          <w:iCs/>
          <w:color w:val="6B6B6B"/>
          <w:sz w:val="18"/>
          <w:szCs w:val="18"/>
        </w:rPr>
        <w:t xml:space="preserve">Source: DRAFT MNET Constitution (team working document), Preamble — near verbatim.</w:t>
      </w:r>
    </w:p>
    <w:p>
      <w:pPr>
        <w:pStyle w:val="Heading1"/>
      </w:pPr>
      <w:r>
        <w:t xml:space="preserve">Article 1 — Name, Identity and Heritage</w:t>
      </w:r>
    </w:p>
    <w:p>
      <w:pPr>
        <w:pStyle w:val="ListParagraph"/>
        <w:numPr>
          <w:ilvl w:val="0"/>
          <w:numId w:val="2"/>
        </w:numPr>
        <w:spacing w:after="80"/>
      </w:pPr>
      <w:r>
        <w:t xml:space="preserve">The name of the team is Monash Nexus for Emerging Technologies, abbreviated as MNET.</w:t>
      </w:r>
    </w:p>
    <w:p>
      <w:pPr>
        <w:pStyle w:val="ListParagraph"/>
        <w:numPr>
          <w:ilvl w:val="0"/>
          <w:numId w:val="2"/>
        </w:numPr>
        <w:spacing w:after="80"/>
      </w:pPr>
      <w:r>
        <w:t xml:space="preserve">MNET is a student team under the Monash Student Team Initiative (MSTI), affiliated with the Faculty of Information Technology, and draws members from across Monash University including the Faculty of Engineering.</w:t>
      </w:r>
    </w:p>
    <w:p>
      <w:pPr>
        <w:pStyle w:val="ListParagraph"/>
        <w:numPr>
          <w:ilvl w:val="0"/>
          <w:numId w:val="2"/>
        </w:numPr>
        <w:spacing w:after="80"/>
      </w:pPr>
      <w:r>
        <w:t xml:space="preserve">MNET originated in 2022 as METTA (Monash Emerging Technology Themes and Applications), a student-led consultancy operating under eSolutions’ Virtual and Augmented Reality Services (VARS). The team’s history is recorded in Appendix A.</w:t>
      </w:r>
    </w:p>
    <w:p>
      <w:pPr>
        <w:pStyle w:val="ListParagraph"/>
        <w:numPr>
          <w:ilvl w:val="0"/>
          <w:numId w:val="2"/>
        </w:numPr>
        <w:spacing w:after="80"/>
      </w:pPr>
      <w:r>
        <w:t xml:space="preserve">The name Monash Nexus for Emerging Technologies was formally approved by the Faculty of Information Technology (A/Prof Michael Wybrow) on 4 July 2024, following a team-wide and stakeholder naming poll. 4 July is observed as the team’s naming day.</w:t>
      </w:r>
    </w:p>
    <w:p>
      <w:pPr>
        <w:pStyle w:val="ListParagraph"/>
        <w:numPr>
          <w:ilvl w:val="0"/>
          <w:numId w:val="2"/>
        </w:numPr>
        <w:spacing w:after="80"/>
      </w:pPr>
      <w:r>
        <w:t xml:space="preserve">MNET’s home facility is the Digital Makerspace at Monash Clayton. The team’s postal address is Building 63, 25 Exhibition Walk, Clayton VIC 3168.</w:t>
      </w:r>
    </w:p>
    <w:p>
      <w:pPr>
        <w:pStyle w:val="ListParagraph"/>
        <w:numPr>
          <w:ilvl w:val="0"/>
          <w:numId w:val="2"/>
        </w:numPr>
        <w:spacing w:after="80"/>
      </w:pPr>
      <w:r>
        <w:t xml:space="preserve">MNET’s public presence includes the website monashemerging.tech, the email mnet@monash.edu, and the handle @monashemergingtech across LinkedIn, Instagram, Facebook, and YouTube.</w:t>
      </w:r>
    </w:p>
    <w:p>
      <w:pPr>
        <w:pStyle w:val="ListParagraph"/>
        <w:numPr>
          <w:ilvl w:val="0"/>
          <w:numId w:val="2"/>
        </w:numPr>
        <w:spacing w:after="80"/>
      </w:pPr>
      <w:r>
        <w:t xml:space="preserve">The team mascot is Mepo the platypus, adopted in 2025 and named by a team-wide vote (the “MNET Naming Ceremonial Form”) held on 15 July 2025, the day founder Rohan Kalanje stepped down as team lead. The name carries one letter from each department: Marketing, Education, Projects, Operations.</w:t>
      </w:r>
    </w:p>
    <w:p>
      <w:pPr>
        <w:pStyle w:val="Heading1"/>
      </w:pPr>
      <w:r>
        <w:t xml:space="preserve">Article 2 — Mission and Objectives</w:t>
      </w:r>
    </w:p>
    <w:p>
      <w:pPr>
        <w:spacing w:after="120"/>
      </w:pPr>
      <w:r>
        <w:t xml:space="preserve">MNET exists to expose students to the possibilities offered by simulation technologies — XR, quantum computing, and more. As a “nexus”, it offers passionate and talented students the opportunity to collaborate with research labs, work in an industry environment, and get their hands on otherwise inaccessible technology — reshaping “what can’t be” into “what will be”.</w:t>
      </w:r>
    </w:p>
    <w:p>
      <w:pPr>
        <w:pStyle w:val="Heading2"/>
      </w:pPr>
      <w:r>
        <w:t xml:space="preserve">2.1 Objectives</w:t>
      </w:r>
    </w:p>
    <w:p>
      <w:pPr>
        <w:pStyle w:val="ListParagraph"/>
        <w:numPr>
          <w:ilvl w:val="0"/>
          <w:numId w:val="3"/>
        </w:numPr>
        <w:spacing w:after="60"/>
      </w:pPr>
      <w:r>
        <w:t xml:space="preserve">Develop experimental projects across the simulation-technology spectrum (for example XR, digital twins, quantum computing, and games), extending to whatever up-and-coming technologies the team elects to pursue.</w:t>
      </w:r>
    </w:p>
    <w:p>
      <w:pPr>
        <w:pStyle w:val="ListParagraph"/>
        <w:numPr>
          <w:ilvl w:val="0"/>
          <w:numId w:val="3"/>
        </w:numPr>
        <w:spacing w:after="60"/>
      </w:pPr>
      <w:r>
        <w:t xml:space="preserve">Provide hands-on, real-world, industry-relevant learning and upskilling for Monash students.</w:t>
      </w:r>
    </w:p>
    <w:p>
      <w:pPr>
        <w:pStyle w:val="ListParagraph"/>
        <w:numPr>
          <w:ilvl w:val="0"/>
          <w:numId w:val="3"/>
        </w:numPr>
        <w:spacing w:after="60"/>
      </w:pPr>
      <w:r>
        <w:t xml:space="preserve">Educate the next generation through workshops, game jams, and school and university outreach programs.</w:t>
      </w:r>
    </w:p>
    <w:p>
      <w:pPr>
        <w:pStyle w:val="ListParagraph"/>
        <w:numPr>
          <w:ilvl w:val="0"/>
          <w:numId w:val="3"/>
        </w:numPr>
        <w:spacing w:after="60"/>
      </w:pPr>
      <w:r>
        <w:t xml:space="preserve">Collaborate with faculties, labs, student teams, industry and research partners to shape Monash’s digital ecosystem.</w:t>
      </w:r>
    </w:p>
    <w:p>
      <w:pPr>
        <w:pStyle w:val="ListParagraph"/>
        <w:numPr>
          <w:ilvl w:val="0"/>
          <w:numId w:val="3"/>
        </w:numPr>
        <w:spacing w:after="60"/>
      </w:pPr>
      <w:r>
        <w:t xml:space="preserve">Champion equity, diversity and inclusion, including Women in STEM initiatives.</w:t>
      </w:r>
    </w:p>
    <w:p>
      <w:pPr>
        <w:pStyle w:val="ListParagraph"/>
        <w:numPr>
          <w:ilvl w:val="0"/>
          <w:numId w:val="3"/>
        </w:numPr>
        <w:spacing w:after="60"/>
      </w:pPr>
      <w:r>
        <w:t xml:space="preserve">Showcase student work through competitions, conferences, expos and public events.</w:t>
      </w:r>
    </w:p>
    <w:p>
      <w:pPr>
        <w:spacing w:after="160"/>
      </w:pPr>
      <w:r>
        <w:rPr>
          <w:i/>
          <w:iCs/>
          <w:color w:val="6B6B6B"/>
          <w:sz w:val="18"/>
          <w:szCs w:val="18"/>
        </w:rPr>
        <w:t xml:space="preserve">Sources: 2025 Prospectus (“What is MNET”, “Our Impact”); 2026 planning boards.</w:t>
      </w:r>
    </w:p>
    <w:p>
      <w:pPr>
        <w:pStyle w:val="Heading1"/>
      </w:pPr>
      <w:r>
        <w:t xml:space="preserve">Article 3 — Code of Conduct</w:t>
      </w:r>
    </w:p>
    <w:p>
      <w:pPr>
        <w:spacing w:after="120"/>
      </w:pPr>
      <w:r>
        <w:t xml:space="preserve">MNET is a member of MSTI and receives its funding from the university. The team has responsibilities to fulfil and an image to maintain. All members, in their capacity as members, are expected to embody the following values. A minor breach may result in disciplinary action; a pattern of behaviour, or a severe breach, may result in dismissal.</w:t>
      </w:r>
    </w:p>
    <w:p>
      <w:pPr>
        <w:pStyle w:val="Heading2"/>
      </w:pPr>
      <w:r>
        <w:t xml:space="preserve">3.1 Honesty and Integrity</w:t>
      </w:r>
    </w:p>
    <w:p>
      <w:pPr>
        <w:pStyle w:val="ListParagraph"/>
        <w:numPr>
          <w:ilvl w:val="0"/>
          <w:numId w:val="3"/>
        </w:numPr>
        <w:spacing w:after="60"/>
      </w:pPr>
      <w:r>
        <w:t xml:space="preserve">A member must not intentionally make a false representation to the team, to MSTI, or to any external organisation.</w:t>
      </w:r>
    </w:p>
    <w:p>
      <w:pPr>
        <w:pStyle w:val="ListParagraph"/>
        <w:numPr>
          <w:ilvl w:val="0"/>
          <w:numId w:val="3"/>
        </w:numPr>
        <w:spacing w:after="60"/>
      </w:pPr>
      <w:r>
        <w:t xml:space="preserve">A member must, to the best of their ability, uphold and fulfil the responsibilities they have voluntarily taken on by joining the team.</w:t>
      </w:r>
    </w:p>
    <w:p>
      <w:pPr>
        <w:pStyle w:val="Heading2"/>
      </w:pPr>
      <w:r>
        <w:t xml:space="preserve">3.2 Accountability</w:t>
      </w:r>
    </w:p>
    <w:p>
      <w:pPr>
        <w:pStyle w:val="ListParagraph"/>
        <w:numPr>
          <w:ilvl w:val="0"/>
          <w:numId w:val="3"/>
        </w:numPr>
        <w:spacing w:after="60"/>
      </w:pPr>
      <w:r>
        <w:t xml:space="preserve">A member must be open and forward about their own mistakes, and display a commitment to prevent repeated occurrences.</w:t>
      </w:r>
    </w:p>
    <w:p>
      <w:pPr>
        <w:pStyle w:val="Heading2"/>
      </w:pPr>
      <w:r>
        <w:t xml:space="preserve">3.3 Fostering Inclusivity</w:t>
      </w:r>
    </w:p>
    <w:p>
      <w:pPr>
        <w:pStyle w:val="ListParagraph"/>
        <w:numPr>
          <w:ilvl w:val="0"/>
          <w:numId w:val="3"/>
        </w:numPr>
        <w:spacing w:after="60"/>
      </w:pPr>
      <w:r>
        <w:t xml:space="preserve">A member must make a reasonable effort to seek and integrate multiple perspectives into their work.</w:t>
      </w:r>
    </w:p>
    <w:p>
      <w:pPr>
        <w:pStyle w:val="ListParagraph"/>
        <w:numPr>
          <w:ilvl w:val="0"/>
          <w:numId w:val="3"/>
        </w:numPr>
        <w:spacing w:after="60"/>
      </w:pPr>
      <w:r>
        <w:t xml:space="preserve">A member must actively promote inclusivity by calling out instances of bigotry to ensure that MNET remains a safe environment.</w:t>
      </w:r>
    </w:p>
    <w:p>
      <w:pPr>
        <w:pStyle w:val="Heading2"/>
      </w:pPr>
      <w:r>
        <w:t xml:space="preserve">3.4 Academic Integrity</w:t>
      </w:r>
    </w:p>
    <w:p>
      <w:pPr>
        <w:pStyle w:val="ListParagraph"/>
        <w:numPr>
          <w:ilvl w:val="0"/>
          <w:numId w:val="3"/>
        </w:numPr>
        <w:spacing w:after="60"/>
      </w:pPr>
      <w:r>
        <w:t xml:space="preserve">A member must prioritise their academic responsibilities and make a reasonable effort to not neglect their studies.</w:t>
      </w:r>
    </w:p>
    <w:p>
      <w:pPr>
        <w:pStyle w:val="ListParagraph"/>
        <w:numPr>
          <w:ilvl w:val="0"/>
          <w:numId w:val="3"/>
        </w:numPr>
        <w:spacing w:after="60"/>
      </w:pPr>
      <w:r>
        <w:t xml:space="preserve">No member may expect another to sacrifice their education for the sake of the team.</w:t>
      </w:r>
    </w:p>
    <w:p>
      <w:pPr>
        <w:pStyle w:val="ListParagraph"/>
        <w:numPr>
          <w:ilvl w:val="0"/>
          <w:numId w:val="3"/>
        </w:numPr>
        <w:spacing w:after="60"/>
      </w:pPr>
      <w:r>
        <w:t xml:space="preserve">A member must, at all times, remain academically honest. The team does not condone cheating in any form.</w:t>
      </w:r>
    </w:p>
    <w:p>
      <w:pPr>
        <w:pStyle w:val="Heading2"/>
      </w:pPr>
      <w:r>
        <w:t xml:space="preserve">3.5 Collaboration</w:t>
      </w:r>
    </w:p>
    <w:p>
      <w:pPr>
        <w:pStyle w:val="ListParagraph"/>
        <w:numPr>
          <w:ilvl w:val="0"/>
          <w:numId w:val="3"/>
        </w:numPr>
        <w:spacing w:after="60"/>
      </w:pPr>
      <w:r>
        <w:t xml:space="preserve">A member must make a reasonable effort to ensure that all contributions are reflected in the final product.</w:t>
      </w:r>
    </w:p>
    <w:p>
      <w:pPr>
        <w:pStyle w:val="ListParagraph"/>
        <w:numPr>
          <w:ilvl w:val="0"/>
          <w:numId w:val="3"/>
        </w:numPr>
        <w:spacing w:after="60"/>
      </w:pPr>
      <w:r>
        <w:t xml:space="preserve">Members should encourage each other to participate, and must not exclude others (regular departmental boundaries excepted).</w:t>
      </w:r>
    </w:p>
    <w:p>
      <w:pPr>
        <w:pStyle w:val="Heading2"/>
      </w:pPr>
      <w:r>
        <w:t xml:space="preserve">3.6 Ethics</w:t>
      </w:r>
    </w:p>
    <w:p>
      <w:pPr>
        <w:pStyle w:val="ListParagraph"/>
        <w:numPr>
          <w:ilvl w:val="0"/>
          <w:numId w:val="3"/>
        </w:numPr>
        <w:spacing w:after="60"/>
      </w:pPr>
      <w:r>
        <w:t xml:space="preserve">Members must reasonably consider the ethical implications of their actions as pertaining to the team, including the potential impact on the team, the university, and society.</w:t>
      </w:r>
    </w:p>
    <w:p>
      <w:pPr>
        <w:pStyle w:val="ListParagraph"/>
        <w:numPr>
          <w:ilvl w:val="0"/>
          <w:numId w:val="3"/>
        </w:numPr>
        <w:spacing w:after="60"/>
      </w:pPr>
      <w:r>
        <w:t xml:space="preserve">All members must follow the MSTI Policy as outlined in the MSTI Policy Manual.</w:t>
      </w:r>
    </w:p>
    <w:p>
      <w:pPr>
        <w:spacing w:after="160"/>
      </w:pPr>
      <w:r>
        <w:rPr>
          <w:i/>
          <w:iCs/>
          <w:color w:val="6B6B6B"/>
          <w:sz w:val="18"/>
          <w:szCs w:val="18"/>
        </w:rPr>
        <w:t xml:space="preserve">Source: DRAFT MNET Constitution, Code of Conduct — near verbatim.</w:t>
      </w:r>
    </w:p>
    <w:p>
      <w:pPr>
        <w:pStyle w:val="Heading1"/>
      </w:pPr>
      <w:r>
        <w:t xml:space="preserve">Article 4 — Organisational Structure</w:t>
      </w:r>
    </w:p>
    <w:p>
      <w:pPr>
        <w:pStyle w:val="Heading2"/>
      </w:pPr>
      <w:r>
        <w:t xml:space="preserve">4.1 Departments</w:t>
      </w:r>
    </w:p>
    <w:p>
      <w:pPr>
        <w:spacing w:after="120"/>
      </w:pPr>
      <w:r>
        <w:t xml:space="preserve">MNET is structured into four departments, each led by co-department leads, focusing on one of the team’s four arms of responsibility:</w:t>
      </w:r>
    </w:p>
    <w:p>
      <w:pPr>
        <w:pStyle w:val="ListParagraph"/>
        <w:numPr>
          <w:ilvl w:val="0"/>
          <w:numId w:val="3"/>
        </w:numPr>
        <w:spacing w:after="60"/>
      </w:pPr>
      <w:r>
        <w:t xml:space="preserve">Education — internal upskilling (workshops such as Unity, Maya, Womp, Spline, Git), external outreach programs (schools, Monash College, camps), and research collaborations (e.g. Fire to Flourish). From 2026, oriented toward outreach and acting as consultants to Projects.</w:t>
      </w:r>
    </w:p>
    <w:p>
      <w:pPr>
        <w:pStyle w:val="ListParagraph"/>
        <w:numPr>
          <w:ilvl w:val="0"/>
          <w:numId w:val="3"/>
        </w:numPr>
        <w:spacing w:after="60"/>
      </w:pPr>
      <w:r>
        <w:t xml:space="preserve">Marketing — brand identity, social media, publications, podcast, merchandise and 3D printing, and the team website.</w:t>
      </w:r>
    </w:p>
    <w:p>
      <w:pPr>
        <w:pStyle w:val="ListParagraph"/>
        <w:numPr>
          <w:ilvl w:val="0"/>
          <w:numId w:val="3"/>
        </w:numPr>
        <w:spacing w:after="60"/>
      </w:pPr>
      <w:r>
        <w:t xml:space="preserve">Operations — the team’s infrastructure: finances, events, recruitment/HR, asset management, sponsorship and philanthropy, and internal information systems (Notion, Google Drive, Discord).</w:t>
      </w:r>
    </w:p>
    <w:p>
      <w:pPr>
        <w:pStyle w:val="ListParagraph"/>
        <w:numPr>
          <w:ilvl w:val="0"/>
          <w:numId w:val="3"/>
        </w:numPr>
        <w:spacing w:after="60"/>
      </w:pPr>
      <w:r>
        <w:t xml:space="preserve">Projects — the team’s core technical initiatives across VR, AR, quantum computing, HCI, EEG, robotics, digital twins and games for innovation.</w:t>
      </w:r>
    </w:p>
    <w:p>
      <w:pPr>
        <w:pStyle w:val="Heading2"/>
      </w:pPr>
      <w:r>
        <w:t xml:space="preserve">4.2 Portfolios</w:t>
      </w:r>
    </w:p>
    <w:p>
      <w:pPr>
        <w:spacing w:after="120"/>
      </w:pPr>
      <w:r>
        <w:t xml:space="preserve">Each department oversees portfolios: specialised sub-teams working on specific projects or a sub-area of the department’s responsibilities. Before activating a portfolio the leadership team considers: people power and knowledge; budget; timeline; purpose and alignment with MNET goals; contracts where finance is involved; and stakeholder needs and expectations.</w:t>
      </w:r>
    </w:p>
    <w:p>
      <w:pPr>
        <w:pStyle w:val="Heading2"/>
      </w:pPr>
      <w:r>
        <w:t xml:space="preserve">4.3 Leadership Team</w:t>
      </w:r>
    </w:p>
    <w:p>
      <w:pPr>
        <w:spacing w:after="120"/>
      </w:pPr>
      <w:r>
        <w:t xml:space="preserve">The leadership team comprises the team lead(s), department leads, and senior members. It guides the team’s annual and long-term strategic direction and ensures the work gets done.</w:t>
      </w:r>
    </w:p>
    <w:p>
      <w:pPr>
        <w:pStyle w:val="Heading2"/>
      </w:pPr>
      <w:r>
        <w:t xml:space="preserve">4.4 Meetings</w:t>
      </w:r>
    </w:p>
    <w:p>
      <w:pPr>
        <w:spacing w:after="120"/>
      </w:pPr>
      <w:r>
        <w:t xml:space="preserve">The team operates a tiered meeting structure:</w:t>
      </w:r>
    </w:p>
    <w:p>
      <w:pPr>
        <w:pStyle w:val="ListParagraph"/>
        <w:numPr>
          <w:ilvl w:val="0"/>
          <w:numId w:val="3"/>
        </w:numPr>
        <w:spacing w:after="60"/>
      </w:pPr>
      <w:r>
        <w:t xml:space="preserve">Mega Meets — quarterly, all members: review the previous quarter, share achievements, and plan the next quarter.</w:t>
      </w:r>
    </w:p>
    <w:p>
      <w:pPr>
        <w:pStyle w:val="ListParagraph"/>
        <w:numPr>
          <w:ilvl w:val="0"/>
          <w:numId w:val="3"/>
        </w:numPr>
        <w:spacing w:after="60"/>
      </w:pPr>
      <w:r>
        <w:t xml:space="preserve">Huddles — monthly, per department: align individual and departmental goals with team objectives, review progress, and collect feedback.</w:t>
      </w:r>
    </w:p>
    <w:p>
      <w:pPr>
        <w:pStyle w:val="ListParagraph"/>
        <w:numPr>
          <w:ilvl w:val="0"/>
          <w:numId w:val="3"/>
        </w:numPr>
        <w:spacing w:after="60"/>
      </w:pPr>
      <w:r>
        <w:t xml:space="preserve">Workerbee sessions — one to two times weekly, per department: hands-on task work, updates and accountability.</w:t>
      </w:r>
    </w:p>
    <w:p>
      <w:pPr>
        <w:pStyle w:val="ListParagraph"/>
        <w:numPr>
          <w:ilvl w:val="0"/>
          <w:numId w:val="3"/>
        </w:numPr>
        <w:spacing w:after="60"/>
      </w:pPr>
      <w:r>
        <w:t xml:space="preserve">Event planning meetings — event-specific, for all members involved in execution.</w:t>
      </w:r>
    </w:p>
    <w:p>
      <w:pPr>
        <w:pStyle w:val="ListParagraph"/>
        <w:numPr>
          <w:ilvl w:val="0"/>
          <w:numId w:val="3"/>
        </w:numPr>
        <w:spacing w:after="60"/>
      </w:pPr>
      <w:r>
        <w:t xml:space="preserve">Leadership All-Hands — ad hoc, leads only: major organisational changes, critical decisions and high-stakes preparation.</w:t>
      </w:r>
    </w:p>
    <w:p>
      <w:pPr>
        <w:pStyle w:val="ListParagraph"/>
        <w:numPr>
          <w:ilvl w:val="0"/>
          <w:numId w:val="3"/>
        </w:numPr>
        <w:spacing w:after="60"/>
      </w:pPr>
      <w:r>
        <w:t xml:space="preserve">External forums — ITTA/MSTI forums, VARS stand-ups and IA Lab meetings, attended by the relevant leads.</w:t>
      </w:r>
    </w:p>
    <w:p>
      <w:pPr>
        <w:spacing w:after="120"/>
      </w:pPr>
      <w:r>
        <w:t xml:space="preserve">Deliverables and action items follow SMART principles with clear scope, ownership and deadlines.</w:t>
      </w:r>
    </w:p>
    <w:p>
      <w:pPr>
        <w:spacing w:after="160"/>
      </w:pPr>
      <w:r>
        <w:rPr>
          <w:i/>
          <w:iCs/>
          <w:color w:val="6B6B6B"/>
          <w:sz w:val="18"/>
          <w:szCs w:val="18"/>
        </w:rPr>
        <w:t xml:space="preserve">Sources: Notion “New Meeting Structure”; Team Lead Handover §3.1 (Portfolio Activision) and §5 (meeting practices).</w:t>
      </w:r>
    </w:p>
    <w:p>
      <w:pPr>
        <w:pStyle w:val="Heading1"/>
      </w:pPr>
      <w:r>
        <w:t xml:space="preserve">Article 5 — Roles and Responsibilities</w:t>
      </w:r>
    </w:p>
    <w:p>
      <w:pPr>
        <w:pStyle w:val="Heading2"/>
      </w:pPr>
      <w:r>
        <w:t xml:space="preserve">5.1 Team Lead(s)</w:t>
      </w:r>
    </w:p>
    <w:p>
      <w:pPr>
        <w:spacing w:after="120"/>
      </w:pPr>
      <w:r>
        <w:t xml:space="preserve">Purpose: to provide management oversight and responsibility across MNET ensuring its effective and efficient function, holding a deep commitment to advancing MNET and fostering a culture of innovation, collaboration and excellence (ICE), alongside strong ambition and strategic vision for continual team-wide growth.</w:t>
      </w:r>
    </w:p>
    <w:p>
      <w:pPr>
        <w:pStyle w:val="ListParagraph"/>
        <w:numPr>
          <w:ilvl w:val="0"/>
          <w:numId w:val="3"/>
        </w:numPr>
        <w:spacing w:after="60"/>
      </w:pPr>
      <w:r>
        <w:t xml:space="preserve">Assume full accountability for MNET’s day-to-day operations and performance.</w:t>
      </w:r>
    </w:p>
    <w:p>
      <w:pPr>
        <w:pStyle w:val="ListParagraph"/>
        <w:numPr>
          <w:ilvl w:val="0"/>
          <w:numId w:val="3"/>
        </w:numPr>
        <w:spacing w:after="60"/>
      </w:pPr>
      <w:r>
        <w:t xml:space="preserve">Collaborate with the broader leadership team to determine annual and long-term strategic direction aligned with the team’s vision.</w:t>
      </w:r>
    </w:p>
    <w:p>
      <w:pPr>
        <w:pStyle w:val="ListParagraph"/>
        <w:numPr>
          <w:ilvl w:val="0"/>
          <w:numId w:val="3"/>
        </w:numPr>
        <w:spacing w:after="60"/>
      </w:pPr>
      <w:r>
        <w:t xml:space="preserve">Formulate and implement organisational structure and initiatives reflecting established objectives and priorities.</w:t>
      </w:r>
    </w:p>
    <w:p>
      <w:pPr>
        <w:pStyle w:val="ListParagraph"/>
        <w:numPr>
          <w:ilvl w:val="0"/>
          <w:numId w:val="3"/>
        </w:numPr>
        <w:spacing w:after="60"/>
      </w:pPr>
      <w:r>
        <w:t xml:space="preserve">Maintain open communication between the team and the leadership team, and cultivate a collaborative, high-performing leadership culture.</w:t>
      </w:r>
    </w:p>
    <w:p>
      <w:pPr>
        <w:pStyle w:val="ListParagraph"/>
        <w:numPr>
          <w:ilvl w:val="0"/>
          <w:numId w:val="3"/>
        </w:numPr>
        <w:spacing w:after="60"/>
      </w:pPr>
      <w:r>
        <w:t xml:space="preserve">Serve as the primary representative of MNET at public events.</w:t>
      </w:r>
    </w:p>
    <w:p>
      <w:pPr>
        <w:pStyle w:val="ListParagraph"/>
        <w:numPr>
          <w:ilvl w:val="0"/>
          <w:numId w:val="3"/>
        </w:numPr>
        <w:spacing w:after="60"/>
      </w:pPr>
      <w:r>
        <w:t xml:space="preserve">Proactively initiate and manage relations with all external stakeholders, including partners, alumni, and clients.</w:t>
      </w:r>
    </w:p>
    <w:p>
      <w:pPr>
        <w:pStyle w:val="ListParagraph"/>
        <w:numPr>
          <w:ilvl w:val="0"/>
          <w:numId w:val="3"/>
        </w:numPr>
        <w:spacing w:after="60"/>
      </w:pPr>
      <w:r>
        <w:t xml:space="preserve">Oversee conflict management, assisting resolution on an ad-hoc basis.</w:t>
      </w:r>
    </w:p>
    <w:p>
      <w:pPr>
        <w:pStyle w:val="Heading2"/>
      </w:pPr>
      <w:r>
        <w:t xml:space="preserve">5.2 Department Leads</w:t>
      </w:r>
    </w:p>
    <w:p>
      <w:pPr>
        <w:pStyle w:val="ListParagraph"/>
        <w:numPr>
          <w:ilvl w:val="0"/>
          <w:numId w:val="3"/>
        </w:numPr>
        <w:spacing w:after="60"/>
      </w:pPr>
      <w:r>
        <w:t xml:space="preserve">Select and support portfolio leads; manage departmental focus; plan for the future; report to the team lead(s).</w:t>
      </w:r>
    </w:p>
    <w:p>
      <w:pPr>
        <w:pStyle w:val="Heading2"/>
      </w:pPr>
      <w:r>
        <w:t xml:space="preserve">5.3 Portfolio Leads</w:t>
      </w:r>
    </w:p>
    <w:p>
      <w:pPr>
        <w:pStyle w:val="ListParagraph"/>
        <w:numPr>
          <w:ilvl w:val="0"/>
          <w:numId w:val="3"/>
        </w:numPr>
        <w:spacing w:after="60"/>
      </w:pPr>
      <w:r>
        <w:t xml:space="preserve">Manage portfolio members; arrange portfolio meetings; report to their department lead.</w:t>
      </w:r>
    </w:p>
    <w:p>
      <w:pPr>
        <w:pStyle w:val="Heading2"/>
      </w:pPr>
      <w:r>
        <w:t xml:space="preserve">5.4 Senior Members</w:t>
      </w:r>
    </w:p>
    <w:p>
      <w:pPr>
        <w:spacing w:after="120"/>
      </w:pPr>
      <w:r>
        <w:t xml:space="preserve">The senior member title recognises sustained commitment (1+ years). From 2026 the title is held by portfolio leads and above, and is refreshed yearly. Leadership and other opportunities may be offered to senior members first.</w:t>
      </w:r>
    </w:p>
    <w:p>
      <w:pPr>
        <w:pStyle w:val="Heading2"/>
      </w:pPr>
      <w:r>
        <w:t xml:space="preserve">5.5 Members, Probationary Members and Alumni</w:t>
      </w:r>
    </w:p>
    <w:p>
      <w:pPr>
        <w:pStyle w:val="ListParagraph"/>
        <w:numPr>
          <w:ilvl w:val="0"/>
          <w:numId w:val="3"/>
        </w:numPr>
        <w:spacing w:after="60"/>
      </w:pPr>
      <w:r>
        <w:t xml:space="preserve">Member — carries out responsibilities assigned by their portfolio or department lead.</w:t>
      </w:r>
    </w:p>
    <w:p>
      <w:pPr>
        <w:pStyle w:val="ListParagraph"/>
        <w:numPr>
          <w:ilvl w:val="0"/>
          <w:numId w:val="3"/>
        </w:numPr>
        <w:spacing w:after="60"/>
      </w:pPr>
      <w:r>
        <w:t xml:space="preserve">Probationary member — as member, but their position in the team is less certain (see Article 8).</w:t>
      </w:r>
    </w:p>
    <w:p>
      <w:pPr>
        <w:pStyle w:val="ListParagraph"/>
        <w:numPr>
          <w:ilvl w:val="0"/>
          <w:numId w:val="3"/>
        </w:numPr>
        <w:spacing w:after="60"/>
      </w:pPr>
      <w:r>
        <w:t xml:space="preserve">Alumnus — a member who has graduated may remain in the team for a maximum of six months.</w:t>
      </w:r>
    </w:p>
    <w:p>
      <w:pPr>
        <w:spacing w:after="160"/>
      </w:pPr>
      <w:r>
        <w:rPr>
          <w:i/>
          <w:iCs/>
          <w:color w:val="6B6B6B"/>
          <w:sz w:val="18"/>
          <w:szCs w:val="18"/>
        </w:rPr>
        <w:t xml:space="preserve">Sources: Team Lead Handover §1 (verbatim purpose and responsibilities); DRAFT MNET Constitution (roles); 2026 Vision Handover (senior member policy).</w:t>
      </w:r>
    </w:p>
    <w:p>
      <w:pPr>
        <w:pStyle w:val="Heading1"/>
      </w:pPr>
      <w:r>
        <w:t xml:space="preserve">Article 6 — Membership</w:t>
      </w:r>
    </w:p>
    <w:p>
      <w:pPr>
        <w:pStyle w:val="Heading2"/>
      </w:pPr>
      <w:r>
        <w:t xml:space="preserve">6.1 Recruitment</w:t>
      </w:r>
    </w:p>
    <w:p>
      <w:pPr>
        <w:pStyle w:val="ListParagraph"/>
        <w:numPr>
          <w:ilvl w:val="0"/>
          <w:numId w:val="4"/>
        </w:numPr>
        <w:spacing w:after="80"/>
      </w:pPr>
      <w:r>
        <w:t xml:space="preserve">Recruitment is held each semester, with intake targets set by department needs.</w:t>
      </w:r>
    </w:p>
    <w:p>
      <w:pPr>
        <w:pStyle w:val="ListParagraph"/>
        <w:numPr>
          <w:ilvl w:val="0"/>
          <w:numId w:val="4"/>
        </w:numPr>
        <w:spacing w:after="80"/>
      </w:pPr>
      <w:r>
        <w:t xml:space="preserve">The detailed recruitment process is under review: it is being re-documented and refined, and will be recorded here once settled.</w:t>
      </w:r>
    </w:p>
    <w:p>
      <w:pPr>
        <w:pStyle w:val="ListParagraph"/>
        <w:numPr>
          <w:ilvl w:val="0"/>
          <w:numId w:val="4"/>
        </w:numPr>
        <w:spacing w:after="80"/>
      </w:pPr>
      <w:r>
        <w:t xml:space="preserve">The team draws applicants from across Monash, with a strong pipeline from the Faculty of Information Technology’s Games and Immersive Media (GIM) major and related programs, alongside members from Engineering, Design, Science, and beyond.</w:t>
      </w:r>
    </w:p>
    <w:p>
      <w:pPr>
        <w:pStyle w:val="Heading2"/>
      </w:pPr>
      <w:r>
        <w:t xml:space="preserve">6.2 Returning Members</w:t>
      </w:r>
    </w:p>
    <w:p>
      <w:pPr>
        <w:pStyle w:val="ListParagraph"/>
        <w:numPr>
          <w:ilvl w:val="0"/>
          <w:numId w:val="3"/>
        </w:numPr>
        <w:spacing w:after="60"/>
      </w:pPr>
      <w:r>
        <w:t xml:space="preserve">Returning probationary members apply again through the standard process.</w:t>
      </w:r>
    </w:p>
    <w:p>
      <w:pPr>
        <w:pStyle w:val="ListParagraph"/>
        <w:numPr>
          <w:ilvl w:val="0"/>
          <w:numId w:val="3"/>
        </w:numPr>
        <w:spacing w:after="60"/>
      </w:pPr>
      <w:r>
        <w:t xml:space="preserve">Returning members undergo a single interview and rejoin as members.</w:t>
      </w:r>
    </w:p>
    <w:p>
      <w:pPr>
        <w:pStyle w:val="ListParagraph"/>
        <w:numPr>
          <w:ilvl w:val="0"/>
          <w:numId w:val="3"/>
        </w:numPr>
        <w:spacing w:after="60"/>
      </w:pPr>
      <w:r>
        <w:t xml:space="preserve">Returning leads re-enter as members.</w:t>
      </w:r>
    </w:p>
    <w:p>
      <w:pPr>
        <w:pStyle w:val="ListParagraph"/>
        <w:numPr>
          <w:ilvl w:val="0"/>
          <w:numId w:val="3"/>
        </w:numPr>
        <w:spacing w:after="60"/>
      </w:pPr>
      <w:r>
        <w:t xml:space="preserve">Post-dismissal applicants may apply again; the team retains the right to deny re-entry.</w:t>
      </w:r>
    </w:p>
    <w:p>
      <w:pPr>
        <w:pStyle w:val="Heading2"/>
      </w:pPr>
      <w:r>
        <w:t xml:space="preserve">6.3 Onboarding</w:t>
      </w:r>
    </w:p>
    <w:p>
      <w:pPr>
        <w:spacing w:after="120"/>
      </w:pPr>
      <w:r>
        <w:t xml:space="preserve">New members complete the onboarding process: the Welcome Pack, onboarding and induction forms, media consent form, and access provisioning (Notion, Google Drive, Discord, calendar). Facility access requires the relevant inductions (Makerspace, Design &amp; Build, and lab-specific inductions).</w:t>
      </w:r>
    </w:p>
    <w:p>
      <w:pPr>
        <w:pStyle w:val="Heading2"/>
      </w:pPr>
      <w:r>
        <w:t xml:space="preserve">6.4 Leaving the Team</w:t>
      </w:r>
    </w:p>
    <w:p>
      <w:pPr>
        <w:spacing w:after="120"/>
      </w:pPr>
      <w:r>
        <w:t xml:space="preserve">A member may leave by choice or by dismissal. On departure the member is removed from Drive, Notion, Discord and team inboxes, with email notice; shared credentials they held access to are rotated where appropriate.</w:t>
      </w:r>
    </w:p>
    <w:p>
      <w:pPr>
        <w:spacing w:after="160"/>
      </w:pPr>
      <w:r>
        <w:rPr>
          <w:i/>
          <w:iCs/>
          <w:color w:val="6B6B6B"/>
          <w:sz w:val="18"/>
          <w:szCs w:val="18"/>
        </w:rPr>
        <w:t xml:space="preserve">Sources: DRAFT MNET Constitution (returning, leaving). Recruitment process documentation pending (2026 review).</w:t>
      </w:r>
    </w:p>
    <w:p>
      <w:pPr>
        <w:pStyle w:val="Heading1"/>
      </w:pPr>
      <w:r>
        <w:t xml:space="preserve">Article 7 — Leadership Selection, Terms and Handover</w:t>
      </w:r>
    </w:p>
    <w:p>
      <w:pPr>
        <w:pStyle w:val="Heading2"/>
      </w:pPr>
      <w:r>
        <w:t xml:space="preserve">7.1 Selection</w:t>
      </w:r>
    </w:p>
    <w:p>
      <w:pPr>
        <w:pStyle w:val="ListParagraph"/>
        <w:numPr>
          <w:ilvl w:val="0"/>
          <w:numId w:val="5"/>
        </w:numPr>
        <w:spacing w:after="80"/>
      </w:pPr>
      <w:r>
        <w:t xml:space="preserve">Every leadership opportunity must be advertised with several months’ notice and an open expression-of-interest form.</w:t>
      </w:r>
    </w:p>
    <w:p>
      <w:pPr>
        <w:pStyle w:val="ListParagraph"/>
        <w:numPr>
          <w:ilvl w:val="0"/>
          <w:numId w:val="5"/>
        </w:numPr>
        <w:spacing w:after="80"/>
      </w:pPr>
      <w:r>
        <w:t xml:space="preserve">Portfolio leads are decided by the previous portfolio lead together with the department leads; department leads act as interim portfolio lead while the decision is made.</w:t>
      </w:r>
    </w:p>
    <w:p>
      <w:pPr>
        <w:pStyle w:val="ListParagraph"/>
        <w:numPr>
          <w:ilvl w:val="0"/>
          <w:numId w:val="5"/>
        </w:numPr>
        <w:spacing w:after="80"/>
      </w:pPr>
      <w:r>
        <w:t xml:space="preserve">Department leads are decided by the previous department leads collaboratively with the team lead(s). A new department lead serves as deputy lead for a semester before elevation. If a department lead leaves suddenly, deputies are elevated; failing that, the remaining department leads decide in concert with the team lead(s).</w:t>
      </w:r>
    </w:p>
    <w:p>
      <w:pPr>
        <w:pStyle w:val="ListParagraph"/>
        <w:numPr>
          <w:ilvl w:val="0"/>
          <w:numId w:val="5"/>
        </w:numPr>
        <w:spacing w:after="80"/>
      </w:pPr>
      <w:r>
        <w:t xml:space="preserve">Team lead(s) are decided by a vote in which portfolio, department, and team leads may participate; outgoing team lead(s) resolve ties. New team leads serve as deputy leads for a semester before elevation. If a team lead leaves suddenly, deputies are elevated; failing that, an EOI is released within a week and a vote held no later than two weeks after the departure.</w:t>
      </w:r>
    </w:p>
    <w:p>
      <w:pPr>
        <w:pStyle w:val="Heading2"/>
      </w:pPr>
      <w:r>
        <w:t xml:space="preserve">7.2 Terms</w:t>
      </w:r>
    </w:p>
    <w:p>
      <w:pPr>
        <w:pStyle w:val="ListParagraph"/>
        <w:numPr>
          <w:ilvl w:val="0"/>
          <w:numId w:val="5"/>
        </w:numPr>
        <w:spacing w:after="80"/>
      </w:pPr>
      <w:r>
        <w:t xml:space="preserve">Team leads serve no more than two consecutive years.</w:t>
      </w:r>
    </w:p>
    <w:p>
      <w:pPr>
        <w:pStyle w:val="ListParagraph"/>
        <w:numPr>
          <w:ilvl w:val="0"/>
          <w:numId w:val="5"/>
        </w:numPr>
        <w:spacing w:after="80"/>
      </w:pPr>
      <w:r>
        <w:t xml:space="preserve">Team leads must plan for at least a full year in the role and expect to commit 15–20 hours per week, increasing in peak periods. If a lead intends to serve a shorter period, a plan must be put in place and all handover action items completed at minimum.</w:t>
      </w:r>
    </w:p>
    <w:p>
      <w:pPr>
        <w:pStyle w:val="Heading2"/>
      </w:pPr>
      <w:r>
        <w:t xml:space="preserve">7.3 Handover</w:t>
      </w:r>
    </w:p>
    <w:p>
      <w:pPr>
        <w:pStyle w:val="ListParagraph"/>
        <w:numPr>
          <w:ilvl w:val="0"/>
          <w:numId w:val="5"/>
        </w:numPr>
        <w:spacing w:after="80"/>
      </w:pPr>
      <w:r>
        <w:t xml:space="preserve">The team lead handover occurs over a period of four weeks (quicker where possible), including a vision meeting that passes on the current state and future direction of the team, and updating the team history record (Appendix A).</w:t>
      </w:r>
    </w:p>
    <w:p>
      <w:pPr>
        <w:pStyle w:val="ListParagraph"/>
        <w:numPr>
          <w:ilvl w:val="0"/>
          <w:numId w:val="5"/>
        </w:numPr>
        <w:spacing w:after="80"/>
      </w:pPr>
      <w:r>
        <w:t xml:space="preserve">Handover includes transfer of all access and accounts (Notion, Drive, Discord, GitHub organisation, team email delegation, calendar, finance systems, facility access) and re-signing of academic advisor MOUs.</w:t>
      </w:r>
    </w:p>
    <w:p>
      <w:pPr>
        <w:pStyle w:val="ListParagraph"/>
        <w:numPr>
          <w:ilvl w:val="0"/>
          <w:numId w:val="5"/>
        </w:numPr>
        <w:spacing w:after="80"/>
      </w:pPr>
      <w:r>
        <w:t xml:space="preserve">After the handover period, outgoing leads redirect member queries to incoming leads, act in an advisory capacity when consulted, and support clarifications during transition — without overriding decision-making authority.</w:t>
      </w:r>
    </w:p>
    <w:p>
      <w:pPr>
        <w:spacing w:after="160"/>
      </w:pPr>
      <w:r>
        <w:rPr>
          <w:i/>
          <w:iCs/>
          <w:color w:val="6B6B6B"/>
          <w:sz w:val="18"/>
          <w:szCs w:val="18"/>
        </w:rPr>
        <w:t xml:space="preserve">Sources: DRAFT MNET Constitution (selection); Team Lead Handover §2, §6 and “Team Process” (terms, handover, access transfer).</w:t>
      </w:r>
    </w:p>
    <w:p>
      <w:pPr>
        <w:pStyle w:val="Heading1"/>
      </w:pPr>
      <w:r>
        <w:t xml:space="preserve">Article 8 — Disciplinary Action and Dismissal</w:t>
      </w:r>
    </w:p>
    <w:p>
      <w:pPr>
        <w:pStyle w:val="ListParagraph"/>
        <w:numPr>
          <w:ilvl w:val="0"/>
          <w:numId w:val="6"/>
        </w:numPr>
        <w:spacing w:after="80"/>
      </w:pPr>
      <w:r>
        <w:t xml:space="preserve">A clear failure to fulfil responsibilities, or a breach of the Code of Conduct, constitutes one breach.</w:t>
      </w:r>
    </w:p>
    <w:p>
      <w:pPr>
        <w:pStyle w:val="ListParagraph"/>
        <w:numPr>
          <w:ilvl w:val="0"/>
          <w:numId w:val="6"/>
        </w:numPr>
        <w:spacing w:after="80"/>
      </w:pPr>
      <w:r>
        <w:t xml:space="preserve">Probationary member: a single breach is sufficient grounds for dismissal.</w:t>
      </w:r>
    </w:p>
    <w:p>
      <w:pPr>
        <w:pStyle w:val="ListParagraph"/>
        <w:numPr>
          <w:ilvl w:val="0"/>
          <w:numId w:val="6"/>
        </w:numPr>
        <w:spacing w:after="80"/>
      </w:pPr>
      <w:r>
        <w:t xml:space="preserve">Member: following a breach, a performance evaluation is held; a related subsequent breach is sufficient grounds for dismissal. Three unrelated breaches are also sufficient grounds for dismissal.</w:t>
      </w:r>
    </w:p>
    <w:p>
      <w:pPr>
        <w:pStyle w:val="ListParagraph"/>
        <w:numPr>
          <w:ilvl w:val="0"/>
          <w:numId w:val="6"/>
        </w:numPr>
        <w:spacing w:after="80"/>
      </w:pPr>
      <w:r>
        <w:t xml:space="preserve">Leadership: as for members. A leader may additionally be dismissed by a motion of no confidence, requested with evidence of inappropriate behaviour or neglect of duties, and heard by those above the lead in question (for a team lead, department leads and/or an academic advisor). The motion exists so a lead cannot shelter behind the three-breach clause while demonstrating a lack of ability or desire to lead.</w:t>
      </w:r>
    </w:p>
    <w:p>
      <w:pPr>
        <w:pStyle w:val="ListParagraph"/>
        <w:numPr>
          <w:ilvl w:val="0"/>
          <w:numId w:val="6"/>
        </w:numPr>
        <w:spacing w:after="80"/>
      </w:pPr>
      <w:r>
        <w:t xml:space="preserve">Tangible accusations of abusive conduct result in instant dismissal.</w:t>
      </w:r>
    </w:p>
    <w:p>
      <w:pPr>
        <w:spacing w:after="160"/>
      </w:pPr>
      <w:r>
        <w:rPr>
          <w:i/>
          <w:iCs/>
          <w:color w:val="6B6B6B"/>
          <w:sz w:val="18"/>
          <w:szCs w:val="18"/>
        </w:rPr>
        <w:t xml:space="preserve">Source: DRAFT MNET Constitution (disciplinary action) — near verbatim.</w:t>
      </w:r>
    </w:p>
    <w:p>
      <w:pPr>
        <w:pStyle w:val="Heading1"/>
      </w:pPr>
      <w:r>
        <w:t xml:space="preserve">Article 9 — Advisors and Stakeholders</w:t>
      </w:r>
    </w:p>
    <w:p>
      <w:pPr>
        <w:pStyle w:val="ListParagraph"/>
        <w:numPr>
          <w:ilvl w:val="0"/>
          <w:numId w:val="7"/>
        </w:numPr>
        <w:spacing w:after="80"/>
      </w:pPr>
      <w:r>
        <w:t xml:space="preserve">MNET maintains Memoranda of Understanding (MOUs) with its academic advisors, facilitated through MSTI. MOUs are re-signed with the current team leads at each leadership handover.</w:t>
      </w:r>
    </w:p>
    <w:p>
      <w:pPr>
        <w:pStyle w:val="ListParagraph"/>
        <w:numPr>
          <w:ilvl w:val="0"/>
          <w:numId w:val="7"/>
        </w:numPr>
        <w:spacing w:after="80"/>
      </w:pPr>
      <w:r>
        <w:t xml:space="preserve">As of 2026, the team’s academic advisors are Dr Tim Dwyer (Embodied Visualisation / Immersive Analytics Lab), Dr Tom Chandler, and Dariusz Skoraczynski, with a separate collaboration MOU covering eSolutions VARS.</w:t>
      </w:r>
    </w:p>
    <w:p>
      <w:pPr>
        <w:pStyle w:val="ListParagraph"/>
        <w:numPr>
          <w:ilvl w:val="0"/>
          <w:numId w:val="7"/>
        </w:numPr>
        <w:spacing w:after="80"/>
      </w:pPr>
      <w:r>
        <w:t xml:space="preserve">The team maintains ongoing engagement with its principal partners: the Embodied Visualisation group (EmVis) and eSolutions Virtual and Augmented Reality Services (VARS), including regular attendance at their stand-up and lab meetings. EmVis is a research group within the Faculty of Information Technology’s Human-Centred Computing (HCC) department; MNET positions itself within this human-centred computing ecosystem, alongside HCC groups such as the Emerging Technologies Lab, the Exertion Games Lab, and SensiLab.</w:t>
      </w:r>
    </w:p>
    <w:p>
      <w:pPr>
        <w:pStyle w:val="ListParagraph"/>
        <w:numPr>
          <w:ilvl w:val="0"/>
          <w:numId w:val="7"/>
        </w:numPr>
        <w:spacing w:after="80"/>
      </w:pPr>
      <w:r>
        <w:t xml:space="preserve">The team is supported by the Digital Makerspace network and the Faculties of Information Technology and Engineering, and maintains relationships with fellow Monash student teams and organisations (including MBEST, MPP, MSB, MCAV, MAC, SMEE, CCA, Monash College, MSDI and Monash Deep Neuron).</w:t>
      </w:r>
    </w:p>
    <w:p>
      <w:pPr>
        <w:pStyle w:val="ListParagraph"/>
        <w:numPr>
          <w:ilvl w:val="0"/>
          <w:numId w:val="7"/>
        </w:numPr>
        <w:spacing w:after="80"/>
      </w:pPr>
      <w:r>
        <w:t xml:space="preserve">The team aims to maintain at least one advisor connected to VARS (equipment access and insurance coverage) and one from the Faculty of Engineering (enabling engineering members to claim CPD hours).</w:t>
      </w:r>
    </w:p>
    <w:p>
      <w:pPr>
        <w:pStyle w:val="ListParagraph"/>
        <w:numPr>
          <w:ilvl w:val="0"/>
          <w:numId w:val="7"/>
        </w:numPr>
        <w:spacing w:after="80"/>
      </w:pPr>
      <w:r>
        <w:t xml:space="preserve">Summary, minutes and action-item emails are sent to advisors after meetings.</w:t>
      </w:r>
    </w:p>
    <w:p>
      <w:pPr>
        <w:spacing w:after="160"/>
      </w:pPr>
      <w:r>
        <w:rPr>
          <w:i/>
          <w:iCs/>
          <w:color w:val="6B6B6B"/>
          <w:sz w:val="18"/>
          <w:szCs w:val="18"/>
        </w:rPr>
        <w:t xml:space="preserve">Sources: Team Lead Handover §4; Supervisor Information folder (2026 MOUs).</w:t>
      </w:r>
    </w:p>
    <w:p>
      <w:pPr>
        <w:pStyle w:val="Heading1"/>
      </w:pPr>
      <w:r>
        <w:t xml:space="preserve">Article 10 — Partnerships, Sponsorship and Philanthropy</w:t>
      </w:r>
    </w:p>
    <w:p>
      <w:pPr>
        <w:pStyle w:val="ListParagraph"/>
        <w:numPr>
          <w:ilvl w:val="0"/>
          <w:numId w:val="8"/>
        </w:numPr>
        <w:spacing w:after="80"/>
      </w:pPr>
      <w:r>
        <w:t xml:space="preserve">Sponsorship is treated as partnership, not transaction. Sponsor engagement includes information sessions, keynote and panel opportunities, podcast appearances, and social media features.</w:t>
      </w:r>
    </w:p>
    <w:p>
      <w:pPr>
        <w:pStyle w:val="ListParagraph"/>
        <w:numPr>
          <w:ilvl w:val="0"/>
          <w:numId w:val="8"/>
        </w:numPr>
        <w:spacing w:after="80"/>
      </w:pPr>
      <w:r>
        <w:t xml:space="preserve">The team operates tiered sponsorship packages (as of the 2025 prospectus: Bronze $250+, Silver $500+, Gold $1000+), collaboration project terms (short &lt;6 months; medium 6–12 months; long-term &gt;1 year requiring academic advisor approval), and no-strings philanthropic donations (tax-deductible, no GST).</w:t>
      </w:r>
    </w:p>
    <w:p>
      <w:pPr>
        <w:pStyle w:val="ListParagraph"/>
        <w:numPr>
          <w:ilvl w:val="0"/>
          <w:numId w:val="8"/>
        </w:numPr>
        <w:spacing w:after="80"/>
      </w:pPr>
      <w:r>
        <w:t xml:space="preserve">Cross-year collaboration projects require formal approval from an academic supervisor and a supervisor assigned to oversee continuity despite team changes.</w:t>
      </w:r>
    </w:p>
    <w:p>
      <w:pPr>
        <w:pStyle w:val="ListParagraph"/>
        <w:numPr>
          <w:ilvl w:val="0"/>
          <w:numId w:val="8"/>
        </w:numPr>
        <w:spacing w:after="80"/>
      </w:pPr>
      <w:r>
        <w:t xml:space="preserve">Sponsorship agreements follow the MSTI pipeline: agreement drawn from the MSTI template, specific to the engagement; pre-approval from MSTI and one of the team’s academic advisors; approval and signature by the FIT Education Director, coordinated through the IT clubs/teams officer; the signed company is then invoiced against the team’s cost fund.</w:t>
      </w:r>
    </w:p>
    <w:p>
      <w:pPr>
        <w:pStyle w:val="ListParagraph"/>
        <w:numPr>
          <w:ilvl w:val="0"/>
          <w:numId w:val="8"/>
        </w:numPr>
        <w:spacing w:after="80"/>
      </w:pPr>
      <w:r>
        <w:t xml:space="preserve">Sponsorship and philanthropy are managed by the Operations department’s Sponsorship &amp; Philanthropy section via the MNET industry email; the public contact remains mnet@monash.edu.</w:t>
      </w:r>
    </w:p>
    <w:p>
      <w:pPr>
        <w:spacing w:after="160"/>
      </w:pPr>
      <w:r>
        <w:rPr>
          <w:i/>
          <w:iCs/>
          <w:color w:val="6B6B6B"/>
          <w:sz w:val="18"/>
          <w:szCs w:val="18"/>
        </w:rPr>
        <w:t xml:space="preserve">Sources: 2025 Prospectus (tiers, collaboration terms, philanthropy); Team Lead Handover §3.2.1 (sponsorship processing).</w:t>
      </w:r>
    </w:p>
    <w:p>
      <w:pPr>
        <w:pStyle w:val="Heading1"/>
      </w:pPr>
      <w:r>
        <w:t xml:space="preserve">Article 11 — Operations, Finance and Assets</w:t>
      </w:r>
    </w:p>
    <w:p>
      <w:pPr>
        <w:pStyle w:val="Heading2"/>
      </w:pPr>
      <w:r>
        <w:t xml:space="preserve">11.1 Tools and Infrastructure</w:t>
      </w:r>
    </w:p>
    <w:p>
      <w:pPr>
        <w:pStyle w:val="ListParagraph"/>
        <w:numPr>
          <w:ilvl w:val="0"/>
          <w:numId w:val="3"/>
        </w:numPr>
        <w:spacing w:after="60"/>
      </w:pPr>
      <w:r>
        <w:t xml:space="preserve">Notion — single source of truth for portfolios, tasks, sprints, members and documentation.</w:t>
      </w:r>
    </w:p>
    <w:p>
      <w:pPr>
        <w:pStyle w:val="ListParagraph"/>
        <w:numPr>
          <w:ilvl w:val="0"/>
          <w:numId w:val="3"/>
        </w:numPr>
        <w:spacing w:after="60"/>
      </w:pPr>
      <w:r>
        <w:t xml:space="preserve">Google Workspace — team Drive, team calendar, and mnet@monash.edu (delegated to current leadership).</w:t>
      </w:r>
    </w:p>
    <w:p>
      <w:pPr>
        <w:pStyle w:val="ListParagraph"/>
        <w:numPr>
          <w:ilvl w:val="0"/>
          <w:numId w:val="3"/>
        </w:numPr>
        <w:spacing w:after="60"/>
      </w:pPr>
      <w:r>
        <w:t xml:space="preserve">Discord — day-to-day communication; server ownership held via the team dev account; roles transferred at handover.</w:t>
      </w:r>
    </w:p>
    <w:p>
      <w:pPr>
        <w:pStyle w:val="ListParagraph"/>
        <w:numPr>
          <w:ilvl w:val="0"/>
          <w:numId w:val="3"/>
        </w:numPr>
        <w:spacing w:after="60"/>
      </w:pPr>
      <w:r>
        <w:t xml:space="preserve">GitHub (Monash-Emerging-Tech) — code, including the team website; organisation ownership transferred at handover.</w:t>
      </w:r>
    </w:p>
    <w:p>
      <w:pPr>
        <w:pStyle w:val="Heading2"/>
      </w:pPr>
      <w:r>
        <w:t xml:space="preserve">11.2 Finance</w:t>
      </w:r>
    </w:p>
    <w:p>
      <w:pPr>
        <w:pStyle w:val="ListParagraph"/>
        <w:numPr>
          <w:ilvl w:val="0"/>
          <w:numId w:val="3"/>
        </w:numPr>
        <w:spacing w:after="60"/>
      </w:pPr>
      <w:r>
        <w:t xml:space="preserve">University purchases run through the university procurement system (digital card requests approved by a Coupa-authorised advisor) or the student reimbursement process approved by an academic advisor.</w:t>
      </w:r>
    </w:p>
    <w:p>
      <w:pPr>
        <w:pStyle w:val="ListParagraph"/>
        <w:numPr>
          <w:ilvl w:val="0"/>
          <w:numId w:val="3"/>
        </w:numPr>
        <w:spacing w:after="60"/>
      </w:pPr>
      <w:r>
        <w:t xml:space="preserve">Budgets are checked monthly/quarterly against MSTI finance tracking (including GST treatment).</w:t>
      </w:r>
    </w:p>
    <w:p>
      <w:pPr>
        <w:pStyle w:val="ListParagraph"/>
        <w:numPr>
          <w:ilvl w:val="0"/>
          <w:numId w:val="3"/>
        </w:numPr>
        <w:spacing w:after="60"/>
      </w:pPr>
      <w:r>
        <w:t xml:space="preserve">Finance access and approval details are recorded in the internal handover documents, not in this constitution.</w:t>
      </w:r>
    </w:p>
    <w:p>
      <w:pPr>
        <w:pStyle w:val="Heading2"/>
      </w:pPr>
      <w:r>
        <w:t xml:space="preserve">11.3 Assets and Facilities</w:t>
      </w:r>
    </w:p>
    <w:p>
      <w:pPr>
        <w:pStyle w:val="ListParagraph"/>
        <w:numPr>
          <w:ilvl w:val="0"/>
          <w:numId w:val="3"/>
        </w:numPr>
        <w:spacing w:after="60"/>
      </w:pPr>
      <w:r>
        <w:t xml:space="preserve">The team manages physical assets (XR headsets, capture and AV equipment, 3D printing) through its asset-management systems, with facility access (Digital Makerspace, Mixed Reality Studio/G08, VARS, IA Lab, Design &amp; Build) governed by the relevant inductions, bookings and staff contacts.</w:t>
      </w:r>
    </w:p>
    <w:p>
      <w:pPr>
        <w:spacing w:after="160"/>
      </w:pPr>
      <w:r>
        <w:rPr>
          <w:i/>
          <w:iCs/>
          <w:color w:val="6B6B6B"/>
          <w:sz w:val="18"/>
          <w:szCs w:val="18"/>
        </w:rPr>
        <w:t xml:space="preserve">Sources: Team Lead Handover §2 and Access Permission Transfer Process; Operations department records.</w:t>
      </w:r>
    </w:p>
    <w:p>
      <w:pPr>
        <w:pStyle w:val="Heading1"/>
      </w:pPr>
      <w:r>
        <w:t xml:space="preserve">Article 12 — Events and Outreach</w:t>
      </w:r>
    </w:p>
    <w:p>
      <w:pPr>
        <w:pStyle w:val="ListParagraph"/>
        <w:numPr>
          <w:ilvl w:val="0"/>
          <w:numId w:val="3"/>
        </w:numPr>
        <w:spacing w:after="60"/>
      </w:pPr>
      <w:r>
        <w:t xml:space="preserve">Recurring activations: O-Week (each semester), IT Fair (semester 1, week 1), Open Day (semester 2), and one to three showcases across the year.</w:t>
      </w:r>
    </w:p>
    <w:p>
      <w:pPr>
        <w:pStyle w:val="ListParagraph"/>
        <w:numPr>
          <w:ilvl w:val="0"/>
          <w:numId w:val="3"/>
        </w:numPr>
        <w:spacing w:after="60"/>
      </w:pPr>
      <w:r>
        <w:t xml:space="preserve">External engagements: expos and conferences (e.g. PAX, SXSW Sydney, TGX, AWE, FLIQ), Monash College collaborations, general workshops, industry events, game jams, and team culture events.</w:t>
      </w:r>
    </w:p>
    <w:p>
      <w:pPr>
        <w:pStyle w:val="ListParagraph"/>
        <w:numPr>
          <w:ilvl w:val="0"/>
          <w:numId w:val="3"/>
        </w:numPr>
        <w:spacing w:after="60"/>
      </w:pPr>
      <w:r>
        <w:t xml:space="preserve">Off-site events require an Event Risk Management Plan (ERMP) approved by an academic advisor as supervisor.</w:t>
      </w:r>
    </w:p>
    <w:p>
      <w:pPr>
        <w:pStyle w:val="ListParagraph"/>
        <w:numPr>
          <w:ilvl w:val="0"/>
          <w:numId w:val="3"/>
        </w:numPr>
        <w:spacing w:after="60"/>
      </w:pPr>
      <w:r>
        <w:t xml:space="preserve">Events involving travel require a travel plan with approximately 6 months’ notice for interstate travel and 12–18 months for international travel, using university-approved travel arrangements.</w:t>
      </w:r>
    </w:p>
    <w:p>
      <w:pPr>
        <w:spacing w:after="160"/>
      </w:pPr>
      <w:r>
        <w:rPr>
          <w:i/>
          <w:iCs/>
          <w:color w:val="6B6B6B"/>
          <w:sz w:val="18"/>
          <w:szCs w:val="18"/>
        </w:rPr>
        <w:t xml:space="preserve">Sources: Team Lead Handover §3.2.1 (Events); MNET General Handover (event management).</w:t>
      </w:r>
    </w:p>
    <w:p>
      <w:pPr>
        <w:pStyle w:val="Heading1"/>
      </w:pPr>
      <w:r>
        <w:t xml:space="preserve">Article 13 — Amendments and Ratification</w:t>
      </w:r>
    </w:p>
    <w:p>
      <w:pPr>
        <w:pStyle w:val="ListParagraph"/>
        <w:numPr>
          <w:ilvl w:val="0"/>
          <w:numId w:val="9"/>
        </w:numPr>
        <w:spacing w:after="80"/>
      </w:pPr>
      <w:r>
        <w:t xml:space="preserve">This constitution is reviewed at least once per year by the leadership team, with the history record (Appendix A) updated at each leadership handover.</w:t>
      </w:r>
    </w:p>
    <w:p>
      <w:pPr>
        <w:pStyle w:val="ListParagraph"/>
        <w:numPr>
          <w:ilvl w:val="0"/>
          <w:numId w:val="9"/>
        </w:numPr>
        <w:spacing w:after="80"/>
      </w:pPr>
      <w:r>
        <w:t xml:space="preserve">Amendments are proposed in writing and adopted by decision of the leadership team.</w:t>
      </w:r>
    </w:p>
    <w:p>
      <w:pPr>
        <w:pStyle w:val="ListParagraph"/>
        <w:numPr>
          <w:ilvl w:val="0"/>
          <w:numId w:val="9"/>
        </w:numPr>
        <w:spacing w:after="80"/>
      </w:pPr>
      <w:r>
        <w:t xml:space="preserve">Until ratified, this document is a working draft and does not bind the team.</w:t>
      </w:r>
    </w:p>
    <w:p>
      <w:pPr>
        <w:spacing w:after="120"/>
        <w:ind w:left="360"/>
      </w:pPr>
      <w:r>
        <w:rPr>
          <w:b/>
          <w:bCs/>
          <w:color w:val="DC003B"/>
        </w:rPr>
        <w:t xml:space="preserve">OPEN QUESTION: </w:t>
      </w:r>
      <w:r>
        <w:rPr>
          <w:i/>
          <w:iCs/>
          <w:color w:val="6B6B6B"/>
        </w:rPr>
        <w:t xml:space="preserve">Ratification mechanism to decide: leadership vote only, all-member vote, or leadership vote with advisor endorsement.</w:t>
      </w:r>
    </w:p>
    <w:p>
      <w:pPr>
        <w:spacing w:after="120"/>
        <w:ind w:left="360"/>
      </w:pPr>
      <w:r>
        <w:rPr>
          <w:b/>
          <w:bCs/>
          <w:color w:val="DC003B"/>
        </w:rPr>
        <w:t xml:space="preserve">OPEN QUESTION: </w:t>
      </w:r>
      <w:r>
        <w:rPr>
          <w:i/>
          <w:iCs/>
          <w:color w:val="6B6B6B"/>
        </w:rPr>
        <w:t xml:space="preserve">Voting model for constitutional amendments and lead elections — the working draft floats “weighted tracking for democratic processes in a meritocratic way”; needs a concrete rule.</w:t>
      </w:r>
    </w:p>
    <w:p>
      <w:pPr>
        <w:spacing w:after="120"/>
        <w:ind w:left="360"/>
      </w:pPr>
      <w:r>
        <w:rPr>
          <w:b/>
          <w:bCs/>
          <w:color w:val="DC003B"/>
        </w:rPr>
        <w:t xml:space="preserve">OPEN QUESTION: </w:t>
      </w:r>
      <w:r>
        <w:rPr>
          <w:i/>
          <w:iCs/>
          <w:color w:val="6B6B6B"/>
        </w:rPr>
        <w:t xml:space="preserve">Quorum and standing orders for formal meetings (the draft references adapting standing orders from other Monash association constitutions).</w:t>
      </w:r>
    </w:p>
    <w:p>
      <w:r>
        <w:br w:type="page"/>
      </w:r>
    </w:p>
    <w:p>
      <w:pPr>
        <w:pStyle w:val="Heading1"/>
      </w:pPr>
      <w:r>
        <w:t xml:space="preserve">Appendix A — History and Leadership Honour 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F3D6DE" w:val="clear"/>
            <w:tcMar>
              <w:top w:type="dxa" w:w="80"/>
              <w:left w:type="dxa" w:w="120"/>
              <w:bottom w:type="dxa" w:w="80"/>
              <w:right w:type="dxa" w:w="120"/>
            </w:tcMar>
          </w:tcPr>
          <w:p>
            <w:r>
              <w:rPr>
                <w:b/>
                <w:bCs/>
                <w:sz w:val="20"/>
                <w:szCs w:val="20"/>
              </w:rPr>
              <w:t xml:space="preserve">Year</w:t>
            </w:r>
          </w:p>
        </w:tc>
        <w:tc>
          <w:tcPr>
            <w:tcW w:type="dxa" w:w="3513"/>
            <w:tcBorders>
              <w:top w:val="single" w:color="CCCCCC" w:sz="1"/>
              <w:left w:val="single" w:color="CCCCCC" w:sz="1"/>
              <w:bottom w:val="single" w:color="CCCCCC" w:sz="1"/>
              <w:right w:val="single" w:color="CCCCCC" w:sz="1"/>
            </w:tcBorders>
            <w:shd w:fill="F3D6DE" w:val="clear"/>
            <w:tcMar>
              <w:top w:type="dxa" w:w="80"/>
              <w:left w:type="dxa" w:w="120"/>
              <w:bottom w:type="dxa" w:w="80"/>
              <w:right w:type="dxa" w:w="120"/>
            </w:tcMar>
          </w:tcPr>
          <w:p>
            <w:r>
              <w:rPr>
                <w:b/>
                <w:bCs/>
                <w:sz w:val="20"/>
                <w:szCs w:val="20"/>
              </w:rPr>
              <w:t xml:space="preserve">Leadership</w:t>
            </w:r>
          </w:p>
        </w:tc>
        <w:tc>
          <w:tcPr>
            <w:tcW w:type="dxa" w:w="3513"/>
            <w:tcBorders>
              <w:top w:val="single" w:color="CCCCCC" w:sz="1"/>
              <w:left w:val="single" w:color="CCCCCC" w:sz="1"/>
              <w:bottom w:val="single" w:color="CCCCCC" w:sz="1"/>
              <w:right w:val="single" w:color="CCCCCC" w:sz="1"/>
            </w:tcBorders>
            <w:shd w:fill="F3D6DE" w:val="clear"/>
            <w:tcMar>
              <w:top w:type="dxa" w:w="80"/>
              <w:left w:type="dxa" w:w="120"/>
              <w:bottom w:type="dxa" w:w="80"/>
              <w:right w:type="dxa" w:w="120"/>
            </w:tcMar>
          </w:tcPr>
          <w:p>
            <w:r>
              <w:rPr>
                <w:b/>
                <w:bCs/>
                <w:sz w:val="20"/>
                <w:szCs w:val="20"/>
              </w:rPr>
              <w:t xml:space="preserve">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METTA under eSolutions VARS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Origins: student-led consultancy co-designing proof-of-concepts for Monash’s digital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2023</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Co-Leads: Rohan Kalanje &amp; Jackie Ho</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year of small beginnings” — ~7 members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2024</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 Rohan Kalanje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“Rebirth and growth” — METTA→MNET rebrand (name approved by FIT on 4 July 2024 — naming day); 39 members; departments defined; Globes ships with Stanford/David Rumsey; SXSW, PAX, TGX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Rohan Kalanje (S1); Co-Leads Luke Downward &amp; Isabelle “Sabi” Fernan (S2)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“Growth, continuation, and structure for longevity” — first handover (15 July 2025, the founder steps down); 74 new members; Mepo the mascot &amp; merch; Tech Futures Night; website redesign begins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Co-Leads: Nicole Ellis &amp; Eunice Yap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Consolidation — ~5 quality portfolios, cross-department collaboration, education→outreach</w:t>
            </w:r>
          </w:p>
        </w:tc>
      </w:tr>
    </w:tbl>
    <w:p>
      <w:pPr>
        <w:spacing w:after="120"/>
      </w:pPr>
      <w:r>
        <w:t xml:space="preserve"/>
      </w:r>
    </w:p>
    <w:p>
      <w:pPr>
        <w:spacing w:after="120"/>
      </w:pPr>
      <w:r>
        <w:rPr>
          <w:i/>
          <w:iCs/>
          <w:color w:val="6B6B6B"/>
          <w:sz w:val="20"/>
          <w:szCs w:val="20"/>
        </w:rPr>
        <w:t xml:space="preserve">Detailed year-by-year accomplishments (projects, events, workshops, competitions) are maintained in the Team Lead Handover document’s “MNET History and Leadership Accomplishments” section and summarised in the website repository’s docs/MNET.md.</w:t>
      </w:r>
    </w:p>
    <w:p>
      <w:pPr>
        <w:pStyle w:val="Heading1"/>
      </w:pPr>
      <w:r>
        <w:t xml:space="preserve">Revision History</w:t>
      </w:r>
    </w:p>
    <w:p>
      <w:pPr>
        <w:pStyle w:val="ListParagraph"/>
        <w:numPr>
          <w:ilvl w:val="0"/>
          <w:numId w:val="3"/>
        </w:numPr>
        <w:spacing w:after="60"/>
      </w:pPr>
      <w:r>
        <w:t xml:space="preserve">v0.3 — 10 July 2026 — Recorded the mascot’s name and naming date (Mepo the platypus, named 15 July 2025 as founder Rohan Kalanje stepped down; M-E-P-O honours Marketing, Education, Projects, Operations), resolving the Article 1 open question. Reframed the team’s scope around the simulation-technologies umbrella, with “emerging” read as digital-to-physical (tagline: “Enter the Digital Frontier”). Trimmed Article 6 recruitment detail pending re-documentation of the process and noted the Games and Immersive Media (GIM) talent pipeline. Added Human-Centred Computing (HCC) department context to Article 9.</w:t>
      </w:r>
    </w:p>
    <w:p>
      <w:pPr>
        <w:pStyle w:val="ListParagraph"/>
        <w:numPr>
          <w:ilvl w:val="0"/>
          <w:numId w:val="3"/>
        </w:numPr>
        <w:spacing w:after="60"/>
      </w:pPr>
      <w:r>
        <w:t xml:space="preserve">v0.2 — 10 July 2026 — Rebuilt from the team’s working DRAFT MNET Constitution plus the Team Lead Handover [2023–5], MNET General Handover, Operations Handover, 2026 Vision Handover, 2026 MOUs, and the 2025 Prospectus. Added the official naming-day record (4 July 2024, verified against the METTA Official Name Change Request email thread with A/Prof Michael Wybrow) and the meeting taxonomy from the Notion New Meeting Structure page and 2024 All Hands minutes. Remaining open questions consolidated under Article 13.</w:t>
      </w:r>
    </w:p>
    <w:p>
      <w:pPr>
        <w:pStyle w:val="ListParagraph"/>
        <w:numPr>
          <w:ilvl w:val="0"/>
          <w:numId w:val="3"/>
        </w:numPr>
        <w:spacing w:after="60"/>
      </w:pPr>
      <w:r>
        <w:t xml:space="preserve">v0.1 — 9 July 2026 — Initial draft from Notion workspace and public materials.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Monash Nexus for Emerging Technologies — 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DC003B"/>
        <w:sz w:val="18"/>
        <w:szCs w:val="18"/>
      </w:rPr>
      <w:t xml:space="preserve">MNET Constitution — DRAFT v0.3 — NOT RATIFIED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4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2026-07-09T23:29:24.387Z</dcterms:created>
  <dcterms:modified xsi:type="dcterms:W3CDTF">2026-07-09T23:29:24.445Z</dcterms:modified>
</cp:coreProperties>
</file>

<file path=docProps/custom.xml><?xml version="1.0" encoding="utf-8"?>
<Properties xmlns="http://schemas.openxmlformats.org/officeDocument/2006/custom-properties" xmlns:vt="http://schemas.openxmlformats.org/officeDocument/2006/docPropsVTypes"/>
</file>