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sz w:val="56"/>
          <w:szCs w:val="56"/>
        </w:rPr>
        <w:t xml:space="preserve">MONASH NEXUS FOR</w:t>
      </w:r>
    </w:p>
    <w:p>
      <w:pPr>
        <w:spacing w:after="240"/>
        <w:jc w:val="center"/>
      </w:pPr>
      <w:r>
        <w:rPr>
          <w:b/>
          <w:bCs/>
          <w:sz w:val="56"/>
          <w:szCs w:val="56"/>
        </w:rPr>
        <w:t xml:space="preserve">EMERGING TECHNOLOGIES</w:t>
      </w:r>
    </w:p>
    <w:p>
      <w:pPr>
        <w:spacing w:after="480"/>
        <w:jc w:val="center"/>
      </w:pPr>
      <w:r>
        <w:rPr>
          <w:b/>
          <w:bCs/>
          <w:sz w:val="44"/>
          <w:szCs w:val="44"/>
        </w:rPr>
        <w:t xml:space="preserve">CONSTITUTION</w:t>
      </w:r>
    </w:p>
    <w:p>
      <w:pPr>
        <w:spacing w:after="240"/>
        <w:jc w:val="center"/>
      </w:pPr>
      <w:r>
        <w:rPr>
          <w:b/>
          <w:bCs/>
          <w:sz w:val="28"/>
          <w:szCs w:val="28"/>
        </w:rPr>
        <w:t xml:space="preserve">DRAFT v0.2 — 10 July 2026</w:t>
      </w:r>
    </w:p>
    <w:p>
      <w:pPr>
        <w:spacing w:after="120"/>
        <w:jc w:val="center"/>
      </w:pPr>
      <w:r>
        <w:rPr>
          <w:i/>
          <w:iCs/>
        </w:rPr>
        <w:t xml:space="preserve">Prepared for review by the MNET Leadership Team. This document has not been ratified and does not yet bind the team.</w:t>
      </w:r>
    </w:p>
    <w:p>
      <w:pPr>
        <w:spacing w:after="0"/>
        <w:jc w:val="center"/>
      </w:pPr>
      <w:r>
        <w:rPr>
          <w:i/>
          <w:iCs/>
        </w:rPr>
        <w:t xml:space="preserve">"Enter the Digital Frontier."</w:t>
      </w:r>
    </w:p>
    <w:p>
      <w:r>
        <w:br w:type="page"/>
      </w:r>
    </w:p>
    <w:p>
      <w:pPr>
        <w:spacing w:after="200"/>
      </w:pPr>
      <w:r>
        <w:rPr>
          <w:b/>
          <w:bCs/>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360"/>
      </w:pPr>
      <w:r>
        <w:rPr>
          <w:b/>
          <w:bCs/>
        </w:rPr>
        <w:t xml:space="preserve">Article 1 — Name and Identity</w:t>
      </w:r>
    </w:p>
    <w:p>
      <w:pPr>
        <w:pStyle w:val="ListParagraph"/>
        <w:numPr>
          <w:ilvl w:val="0"/>
          <w:numId w:val="2"/>
        </w:numPr>
        <w:spacing w:after="80"/>
      </w:pPr>
      <w:r>
        <w:t xml:space="preserve">The name of the team is </w:t>
      </w:r>
      <w:r>
        <w:rPr>
          <w:b/>
          <w:bCs/>
        </w:rPr>
        <w:t xml:space="preserve">Monash Nexus for Emerging Technologies</w:t>
      </w:r>
      <w:r>
        <w:t xml:space="preserve">, abbreviated as </w:t>
      </w:r>
      <w:r>
        <w:rPr>
          <w:b/>
          <w:bCs/>
        </w:rPr>
        <w:t xml:space="preserve">MNET</w:t>
      </w:r>
      <w:r>
        <w:t xml:space="preserve">. The name was approved by the Faculty of Information Technology on 4 July 2024, replacing the team’s founding name METTA (Monash Emerging Technology Themes and Applications).</w:t>
      </w:r>
    </w:p>
    <w:p>
      <w:pPr>
        <w:pStyle w:val="ListParagraph"/>
        <w:numPr>
          <w:ilvl w:val="0"/>
          <w:numId w:val="2"/>
        </w:numPr>
        <w:spacing w:after="80"/>
      </w:pPr>
      <w:r>
        <w:t xml:space="preserve">MNET is a student team of Monash University under the Monash Student Team Initiative (MSTI), hosted by the Faculty of Information Technology and drawing members from all faculties — primarily Information Technology and Engineering.</w:t>
      </w:r>
    </w:p>
    <w:p>
      <w:pPr>
        <w:pStyle w:val="ListParagraph"/>
        <w:numPr>
          <w:ilvl w:val="0"/>
          <w:numId w:val="2"/>
        </w:numPr>
        <w:spacing w:after="80"/>
      </w:pPr>
      <w:r>
        <w:t xml:space="preserve">MNET’s home facility is the Digital Makerspace at Monash Clayton, a central hub supporting digitally focused student teams.</w:t>
      </w:r>
    </w:p>
    <w:p>
      <w:pPr>
        <w:pStyle w:val="ListParagraph"/>
        <w:numPr>
          <w:ilvl w:val="0"/>
          <w:numId w:val="2"/>
        </w:numPr>
        <w:spacing w:after="80"/>
      </w:pPr>
      <w:r>
        <w:t xml:space="preserve">MNET’s public presence includes the website </w:t>
      </w:r>
      <w:r>
        <w:rPr>
          <w:b/>
          <w:bCs/>
        </w:rPr>
        <w:t xml:space="preserve">monashemerging.tech</w:t>
      </w:r>
      <w:r>
        <w:t xml:space="preserve"> and the handle @monashemergingtech across LinkedIn, Instagram, Facebook, and YouTube.</w:t>
      </w:r>
    </w:p>
    <w:p>
      <w:pPr>
        <w:pStyle w:val="ListParagraph"/>
        <w:numPr>
          <w:ilvl w:val="0"/>
          <w:numId w:val="2"/>
        </w:numPr>
        <w:spacing w:after="80"/>
      </w:pPr>
      <w:r>
        <w:t xml:space="preserve">The team mascot is </w:t>
      </w:r>
      <w:r>
        <w:rPr>
          <w:b/>
          <w:bCs/>
        </w:rPr>
        <w:t xml:space="preserve">Mepo the platypus</w:t>
      </w:r>
      <w:r>
        <w:t xml:space="preserve"> (see Article 3.3).</w:t>
      </w:r>
    </w:p>
    <w:p>
      <w:pPr>
        <w:pStyle w:val="Heading1"/>
        <w:spacing w:after="160" w:before="360"/>
      </w:pPr>
      <w:r>
        <w:rPr>
          <w:b/>
          <w:bCs/>
        </w:rPr>
        <w:t xml:space="preserve">Article 2 — Mission and Objectives</w:t>
      </w:r>
    </w:p>
    <w:p>
      <w:pPr>
        <w:spacing w:after="120"/>
      </w:pPr>
      <w:r>
        <w:t xml:space="preserve">MNET is a dynamic student team dedicated to exploring and advancing the frontiers of technology. Our mission is to push the boundaries of innovation in emerging simulation technologies.</w:t>
      </w:r>
    </w:p>
    <w:p>
      <w:pPr>
        <w:spacing w:after="120"/>
      </w:pPr>
      <w:r>
        <w:rPr>
          <w:i/>
          <w:iCs/>
        </w:rPr>
        <w:t xml:space="preserve">Canonical mission (ratified by the MNET Leadership Team at strategy planning, January 2025; re-ratified January 2026): </w:t>
      </w:r>
      <w:r>
        <w:t xml:space="preserve">"MNET’s mission is to drive innovation in emerging technologies through cutting-edge research, high-impact projects, and meaningful collaborations. We aim to educate and inspire students while contributing to Monash University’s ecosystem by integrating advanced technologies like XR, Web Tech, and Immersive Analytics. Through national and international conferences, research initiatives, and industry partnerships, we empower students to create transformative solutions that shape the future of technology."</w:t>
      </w:r>
    </w:p>
    <w:p>
      <w:pPr>
        <w:pStyle w:val="Heading2"/>
        <w:spacing w:after="120" w:before="240"/>
      </w:pPr>
      <w:r>
        <w:rPr>
          <w:b/>
          <w:bCs/>
        </w:rPr>
        <w:t xml:space="preserve">2.1 Objectives</w:t>
      </w:r>
    </w:p>
    <w:p>
      <w:pPr>
        <w:pStyle w:val="ListParagraph"/>
        <w:numPr>
          <w:ilvl w:val="0"/>
          <w:numId w:val="3"/>
        </w:numPr>
        <w:spacing w:after="60"/>
      </w:pPr>
      <w:r>
        <w:t xml:space="preserve">Develop experimental projects in VR/AR/XR, digital twins, quantum computing, motion capture, game development, and frontier web technologies (WebXR).</w:t>
      </w:r>
    </w:p>
    <w:p>
      <w:pPr>
        <w:pStyle w:val="ListParagraph"/>
        <w:numPr>
          <w:ilvl w:val="0"/>
          <w:numId w:val="3"/>
        </w:numPr>
        <w:spacing w:after="60"/>
      </w:pPr>
      <w:r>
        <w:t xml:space="preserve">Provide hands-on, real-world, industry-relevant learning for Monash students.</w:t>
      </w:r>
    </w:p>
    <w:p>
      <w:pPr>
        <w:pStyle w:val="ListParagraph"/>
        <w:numPr>
          <w:ilvl w:val="0"/>
          <w:numId w:val="3"/>
        </w:numPr>
        <w:spacing w:after="60"/>
      </w:pPr>
      <w:r>
        <w:t xml:space="preserve">Educate the next generation through workshops, game jams, and school and university outreach.</w:t>
      </w:r>
    </w:p>
    <w:p>
      <w:pPr>
        <w:pStyle w:val="ListParagraph"/>
        <w:numPr>
          <w:ilvl w:val="0"/>
          <w:numId w:val="3"/>
        </w:numPr>
        <w:spacing w:after="60"/>
      </w:pPr>
      <w:r>
        <w:t xml:space="preserve">Collaborate with faculties, labs, student teams, and industry to shape Monash’s digital ecosystem.</w:t>
      </w:r>
    </w:p>
    <w:p>
      <w:pPr>
        <w:pStyle w:val="ListParagraph"/>
        <w:numPr>
          <w:ilvl w:val="0"/>
          <w:numId w:val="3"/>
        </w:numPr>
        <w:spacing w:after="60"/>
      </w:pPr>
      <w:r>
        <w:t xml:space="preserve">Champion equity, diversity and inclusion, including Women in STEM initiatives.</w:t>
      </w:r>
    </w:p>
    <w:p>
      <w:pPr>
        <w:pStyle w:val="ListParagraph"/>
        <w:numPr>
          <w:ilvl w:val="0"/>
          <w:numId w:val="3"/>
        </w:numPr>
        <w:spacing w:after="60"/>
      </w:pPr>
      <w:r>
        <w:t xml:space="preserve">Showcase student work through competitions, conferences, and public events.</w:t>
      </w:r>
    </w:p>
    <w:p>
      <w:pPr>
        <w:pStyle w:val="Heading1"/>
        <w:spacing w:after="160" w:before="360"/>
      </w:pPr>
      <w:r>
        <w:rPr>
          <w:b/>
          <w:bCs/>
        </w:rPr>
        <w:t xml:space="preserve">Article 3 — Values, Ethos and Mascot</w:t>
      </w:r>
    </w:p>
    <w:p>
      <w:pPr>
        <w:pStyle w:val="Heading2"/>
        <w:spacing w:after="120" w:before="240"/>
      </w:pPr>
      <w:r>
        <w:rPr>
          <w:b/>
          <w:bCs/>
        </w:rPr>
        <w:t xml:space="preserve">3.1 Values</w:t>
      </w:r>
    </w:p>
    <w:p>
      <w:pPr>
        <w:pStyle w:val="ListParagraph"/>
        <w:numPr>
          <w:ilvl w:val="0"/>
          <w:numId w:val="3"/>
        </w:numPr>
        <w:spacing w:after="60"/>
      </w:pPr>
      <w:r>
        <w:rPr>
          <w:b/>
          <w:bCs/>
        </w:rPr>
        <w:t xml:space="preserve">Innovation</w:t>
      </w:r>
      <w:r>
        <w:t xml:space="preserve"> — we work at the edge of what is possible and are unafraid to experiment.</w:t>
      </w:r>
    </w:p>
    <w:p>
      <w:pPr>
        <w:pStyle w:val="ListParagraph"/>
        <w:numPr>
          <w:ilvl w:val="0"/>
          <w:numId w:val="3"/>
        </w:numPr>
        <w:spacing w:after="60"/>
      </w:pPr>
      <w:r>
        <w:rPr>
          <w:b/>
          <w:bCs/>
        </w:rPr>
        <w:t xml:space="preserve">Collaboration</w:t>
      </w:r>
      <w:r>
        <w:t xml:space="preserve"> — we are a tight-knit team; collaboration is not just encouraged, it is necessary.</w:t>
      </w:r>
    </w:p>
    <w:p>
      <w:pPr>
        <w:pStyle w:val="ListParagraph"/>
        <w:numPr>
          <w:ilvl w:val="0"/>
          <w:numId w:val="3"/>
        </w:numPr>
        <w:spacing w:after="60"/>
      </w:pPr>
      <w:r>
        <w:rPr>
          <w:b/>
          <w:bCs/>
        </w:rPr>
        <w:t xml:space="preserve">Excellence</w:t>
      </w:r>
      <w:r>
        <w:t xml:space="preserve"> — we hold our projects, events, and each other to a professional standard.</w:t>
      </w:r>
    </w:p>
    <w:p>
      <w:pPr>
        <w:spacing w:after="120"/>
      </w:pPr>
      <w:r>
        <w:rPr>
          <w:i/>
          <w:iCs/>
        </w:rPr>
        <w:t xml:space="preserve">These three values are confirmed in the team’s 2024 and 2025 End of Year Reports to MSTI ("we value innovation, collaboration, and excellence") and on the website.</w:t>
      </w:r>
    </w:p>
    <w:p>
      <w:pPr>
        <w:pStyle w:val="Heading2"/>
        <w:spacing w:after="120" w:before="240"/>
      </w:pPr>
      <w:r>
        <w:rPr>
          <w:b/>
          <w:bCs/>
        </w:rPr>
        <w:t xml:space="preserve">3.2 Ethos</w:t>
      </w:r>
    </w:p>
    <w:p>
      <w:pPr>
        <w:spacing w:after="120"/>
      </w:pPr>
      <w:r>
        <w:t xml:space="preserve">MNET pairs ambition with mentorship: members are pushed outside their comfort zones in a supportive environment, and leadership is open to any member willing to step up. Succession planning — leaving the team stronger than we found it — is a core leadership responsibility.</w:t>
      </w:r>
    </w:p>
    <w:p>
      <w:pPr>
        <w:pStyle w:val="Heading2"/>
        <w:spacing w:after="120" w:before="240"/>
      </w:pPr>
      <w:r>
        <w:rPr>
          <w:b/>
          <w:bCs/>
        </w:rPr>
        <w:t xml:space="preserve">3.3 Mascot — Mepo the Platypus</w:t>
      </w:r>
    </w:p>
    <w:p>
      <w:pPr>
        <w:pStyle w:val="ListParagraph"/>
        <w:numPr>
          <w:ilvl w:val="0"/>
          <w:numId w:val="4"/>
        </w:numPr>
        <w:spacing w:after="80"/>
      </w:pPr>
      <w:r>
        <w:t xml:space="preserve">The team mascot is </w:t>
      </w:r>
      <w:r>
        <w:rPr>
          <w:b/>
          <w:bCs/>
        </w:rPr>
        <w:t xml:space="preserve">Mepo</w:t>
      </w:r>
      <w:r>
        <w:t xml:space="preserve">, a platypus. Mepo was named on </w:t>
      </w:r>
      <w:r>
        <w:rPr>
          <w:b/>
          <w:bCs/>
        </w:rPr>
        <w:t xml:space="preserve">15 July 2025</w:t>
      </w:r>
      <w:r>
        <w:t xml:space="preserve">, at the leadership handover at which founder Rohan Kalanje stepped down as Team Lead — the mascot’s naming marked the transition to the team’s second generation of leadership.</w:t>
      </w:r>
    </w:p>
    <w:p>
      <w:pPr>
        <w:pStyle w:val="ListParagraph"/>
        <w:numPr>
          <w:ilvl w:val="0"/>
          <w:numId w:val="4"/>
        </w:numPr>
        <w:spacing w:after="80"/>
      </w:pPr>
      <w:r>
        <w:t xml:space="preserve">The name </w:t>
      </w:r>
      <w:r>
        <w:rPr>
          <w:b/>
          <w:bCs/>
        </w:rPr>
        <w:t xml:space="preserve">M-E-P-O</w:t>
      </w:r>
      <w:r>
        <w:t xml:space="preserve"> takes one letter from each of MNET’s four departments: </w:t>
      </w:r>
      <w:r>
        <w:rPr>
          <w:b/>
          <w:bCs/>
        </w:rPr>
        <w:t xml:space="preserve">M</w:t>
      </w:r>
      <w:r>
        <w:t xml:space="preserve">arketing, </w:t>
      </w:r>
      <w:r>
        <w:rPr>
          <w:b/>
          <w:bCs/>
        </w:rPr>
        <w:t xml:space="preserve">E</w:t>
      </w:r>
      <w:r>
        <w:t xml:space="preserve">ducation, </w:t>
      </w:r>
      <w:r>
        <w:rPr>
          <w:b/>
          <w:bCs/>
        </w:rPr>
        <w:t xml:space="preserve">P</w:t>
      </w:r>
      <w:r>
        <w:t xml:space="preserve">rojects, </w:t>
      </w:r>
      <w:r>
        <w:rPr>
          <w:b/>
          <w:bCs/>
        </w:rPr>
        <w:t xml:space="preserve">O</w:t>
      </w:r>
      <w:r>
        <w:t xml:space="preserve">perations. It was chosen by team vote in 2025.</w:t>
      </w:r>
    </w:p>
    <w:p>
      <w:pPr>
        <w:pStyle w:val="ListParagraph"/>
        <w:numPr>
          <w:ilvl w:val="0"/>
          <w:numId w:val="4"/>
        </w:numPr>
        <w:spacing w:after="80"/>
      </w:pPr>
      <w:r>
        <w:t xml:space="preserve">The platypus was chosen because the team represents the transition from the digital ocean to the physical landscape — no better animal than the Australian native platypus, which moves between water and land. Its many oddities mirror the many facets of emerging technology MNET works across (motion capture, virtual production, AR/VR/XR, world building, quantum computing, game development, 3D modelling, web development, digital twins, human-computer interaction, robotics): an electrosensing bill, chewing with gravel in place of teeth, sweating milk, and glowing under UV light.</w:t>
      </w:r>
    </w:p>
    <w:p>
      <w:pPr>
        <w:pStyle w:val="ListParagraph"/>
        <w:numPr>
          <w:ilvl w:val="0"/>
          <w:numId w:val="4"/>
        </w:numPr>
        <w:spacing w:after="80"/>
      </w:pPr>
      <w:r>
        <w:t xml:space="preserve">Mepo appears in team projects (e.g. the </w:t>
      </w:r>
      <w:r>
        <w:rPr>
          <w:i/>
          <w:iCs/>
        </w:rPr>
        <w:t xml:space="preserve">Platypus Forest</w:t>
      </w:r>
      <w:r>
        <w:t xml:space="preserve"> VR environment demonstrated at team events), stickers, and team communications. By team tradition, "The Platypus" holds a listing in the team’s Notion members database with the role of Team Lead and the quote "*Platypus Noises*".</w:t>
      </w:r>
    </w:p>
    <w:p>
      <w:pPr>
        <w:pStyle w:val="Heading1"/>
        <w:spacing w:after="160" w:before="360"/>
      </w:pPr>
      <w:r>
        <w:rPr>
          <w:b/>
          <w:bCs/>
        </w:rPr>
        <w:t xml:space="preserve">Article 4 — Structure</w:t>
      </w:r>
    </w:p>
    <w:p>
      <w:pPr>
        <w:pStyle w:val="Heading2"/>
        <w:spacing w:after="120" w:before="240"/>
      </w:pPr>
      <w:r>
        <w:rPr>
          <w:b/>
          <w:bCs/>
        </w:rPr>
        <w:t xml:space="preserve">4.1 Departments</w:t>
      </w:r>
    </w:p>
    <w:p>
      <w:pPr>
        <w:spacing w:after="120"/>
      </w:pPr>
      <w:r>
        <w:t xml:space="preserve">MNET is structured into four Departments, several specialised Sections and Portfolios, and a Leadership Team.</w:t>
      </w:r>
    </w:p>
    <w:p>
      <w:pPr>
        <w:pStyle w:val="ListParagraph"/>
        <w:numPr>
          <w:ilvl w:val="0"/>
          <w:numId w:val="3"/>
        </w:numPr>
        <w:spacing w:after="60"/>
      </w:pPr>
      <w:r>
        <w:rPr>
          <w:b/>
          <w:bCs/>
        </w:rPr>
        <w:t xml:space="preserve">Education</w:t>
      </w:r>
      <w:r>
        <w:t xml:space="preserve"> — works with academics and student organisations to push forward and educate in the field of emerging technologies; develops training modules to keep the team current with the newest technology. Sections include Research and Teaching (curriculum design, material production, workshop delivery, feedback evaluation).</w:t>
      </w:r>
    </w:p>
    <w:p>
      <w:pPr>
        <w:pStyle w:val="ListParagraph"/>
        <w:numPr>
          <w:ilvl w:val="0"/>
          <w:numId w:val="3"/>
        </w:numPr>
        <w:spacing w:after="60"/>
      </w:pPr>
      <w:r>
        <w:rPr>
          <w:b/>
          <w:bCs/>
        </w:rPr>
        <w:t xml:space="preserve">Marketing</w:t>
      </w:r>
      <w:r>
        <w:t xml:space="preserve"> — reaches stakeholders by sharing upcoming events and milestones through social media content, merchandise, and publishing across academic, industry, and student channels; owns the website, podcast, and email list. Sections include Design, Publications, and Media.</w:t>
      </w:r>
    </w:p>
    <w:p>
      <w:pPr>
        <w:pStyle w:val="ListParagraph"/>
        <w:numPr>
          <w:ilvl w:val="0"/>
          <w:numId w:val="3"/>
        </w:numPr>
        <w:spacing w:after="60"/>
      </w:pPr>
      <w:r>
        <w:rPr>
          <w:b/>
          <w:bCs/>
        </w:rPr>
        <w:t xml:space="preserve">Operations</w:t>
      </w:r>
      <w:r>
        <w:t xml:space="preserve"> — builds and maintains the internal infrastructure of the team and manages relationships with internal and external stakeholders; the skeleton of the team. Sections include Asset Management &amp; Knowledge Transfer, Events &amp; Logistics, Financial Operations, Human Resources, and Sponsorship &amp; Outreach.</w:t>
      </w:r>
    </w:p>
    <w:p>
      <w:pPr>
        <w:pStyle w:val="ListParagraph"/>
        <w:numPr>
          <w:ilvl w:val="0"/>
          <w:numId w:val="3"/>
        </w:numPr>
        <w:spacing w:after="60"/>
      </w:pPr>
      <w:r>
        <w:rPr>
          <w:b/>
          <w:bCs/>
        </w:rPr>
        <w:t xml:space="preserve">Projects</w:t>
      </w:r>
      <w:r>
        <w:t xml:space="preserve"> — drives the core initiatives of the team by overseeing project development, execution, and management through Portfolios, each with Portfolio Lead(s), Task Owner(s), and Assignees.</w:t>
      </w:r>
    </w:p>
    <w:p>
      <w:pPr>
        <w:pStyle w:val="Heading2"/>
        <w:spacing w:after="120" w:before="240"/>
      </w:pPr>
      <w:r>
        <w:rPr>
          <w:b/>
          <w:bCs/>
        </w:rPr>
        <w:t xml:space="preserve">4.2 Hierarchy</w:t>
      </w:r>
    </w:p>
    <w:p>
      <w:pPr>
        <w:spacing w:after="120"/>
      </w:pPr>
      <w:r>
        <w:t xml:space="preserve">The general hierarchy of the team (per the 2025 restructure) is: Team Lead(s) → Department Leads → Senior Members → Portfolio Managers → General Members → Probationary Recruits. Specialty roles (a Finance Manager and an HR Manager) support leadership on compliance, morale, and finances.</w:t>
      </w:r>
    </w:p>
    <w:p>
      <w:pPr>
        <w:pStyle w:val="Heading2"/>
        <w:spacing w:after="120" w:before="240"/>
      </w:pPr>
      <w:r>
        <w:rPr>
          <w:b/>
          <w:bCs/>
        </w:rPr>
        <w:t xml:space="preserve">4.3 Leadership Team</w:t>
      </w:r>
    </w:p>
    <w:p>
      <w:pPr>
        <w:pStyle w:val="ListParagraph"/>
        <w:numPr>
          <w:ilvl w:val="0"/>
          <w:numId w:val="5"/>
        </w:numPr>
        <w:spacing w:after="80"/>
      </w:pPr>
      <w:r>
        <w:t xml:space="preserve">The Leadership Team guides the overall direction of MNET and ensures the work gets done. It includes the Team Lead(s), Department Leads, and senior members. Membership of the Leadership Team is open to members who demonstrate initiative and commitment.</w:t>
      </w:r>
    </w:p>
    <w:p>
      <w:pPr>
        <w:pStyle w:val="ListParagraph"/>
        <w:numPr>
          <w:ilvl w:val="0"/>
          <w:numId w:val="5"/>
        </w:numPr>
        <w:spacing w:after="80"/>
      </w:pPr>
      <w:r>
        <w:t xml:space="preserve">Leadership selection follows the Monash Student Teams Procedure: an expression of interest is circulated to all members; existing leaders and academic advisors shortlist candidates on experience, previous contribution, and diversity; the team elects or selects through secret ballot, consensus, or panel interview; and executives are formally endorsed by the Academic Advisors before being announced.</w:t>
      </w:r>
    </w:p>
    <w:p>
      <w:pPr>
        <w:pStyle w:val="ListParagraph"/>
        <w:numPr>
          <w:ilvl w:val="0"/>
          <w:numId w:val="5"/>
        </w:numPr>
        <w:spacing w:after="80"/>
      </w:pPr>
      <w:r>
        <w:t xml:space="preserve">Under the Procedure, senior non-technical leadership appointments are additionally interviewed by a gender-balanced panel involving staff, with scenario questions prioritising empathy, conflict management, ethical reasoning, communication, and team culture stewardship.</w:t>
      </w:r>
    </w:p>
    <w:p>
      <w:pPr>
        <w:pBdr>
          <w:left w:val="single" w:color="888888" w:sz="18" w:space="8"/>
        </w:pBdr>
        <w:spacing w:after="160" w:before="120"/>
        <w:ind w:left="576"/>
      </w:pPr>
      <w:r>
        <w:rPr>
          <w:b/>
          <w:bCs/>
          <w:i/>
          <w:iCs/>
        </w:rPr>
        <w:t xml:space="preserve">OPEN QUESTION: </w:t>
      </w:r>
      <w:r>
        <w:rPr>
          <w:i/>
          <w:iCs/>
        </w:rPr>
        <w:t xml:space="preserve">Define internal term lengths and the decision-making quorum for the Leadership Team.</w:t>
      </w:r>
    </w:p>
    <w:p>
      <w:pPr>
        <w:pStyle w:val="Heading2"/>
        <w:spacing w:after="120" w:before="240"/>
      </w:pPr>
      <w:r>
        <w:rPr>
          <w:b/>
          <w:bCs/>
        </w:rPr>
        <w:t xml:space="preserve">4.4 Academic Advisors and Staff</w:t>
      </w:r>
    </w:p>
    <w:p>
      <w:pPr>
        <w:pStyle w:val="ListParagraph"/>
        <w:numPr>
          <w:ilvl w:val="0"/>
          <w:numId w:val="3"/>
        </w:numPr>
        <w:spacing w:after="60"/>
      </w:pPr>
      <w:r>
        <w:rPr>
          <w:b/>
          <w:bCs/>
        </w:rPr>
        <w:t xml:space="preserve">Professor Tim Dwyer</w:t>
      </w:r>
      <w:r>
        <w:t xml:space="preserve"> — Faculty of Information Technology, Department of Human-Centred Computing; Discipline Lead of the Embodied Visualisation (EmVis) group, which runs the Immersive Analytics Lab.</w:t>
      </w:r>
    </w:p>
    <w:p>
      <w:pPr>
        <w:pStyle w:val="ListParagraph"/>
        <w:numPr>
          <w:ilvl w:val="0"/>
          <w:numId w:val="3"/>
        </w:numPr>
        <w:spacing w:after="60"/>
      </w:pPr>
      <w:r>
        <w:rPr>
          <w:b/>
          <w:bCs/>
        </w:rPr>
        <w:t xml:space="preserve">Associate Professor Tom Chandler</w:t>
      </w:r>
      <w:r>
        <w:t xml:space="preserve"> — Faculty of Information Technology, Department of Human-Centred Computing.</w:t>
      </w:r>
    </w:p>
    <w:p>
      <w:pPr>
        <w:pStyle w:val="ListParagraph"/>
        <w:numPr>
          <w:ilvl w:val="0"/>
          <w:numId w:val="3"/>
        </w:numPr>
        <w:spacing w:after="60"/>
      </w:pPr>
      <w:r>
        <w:rPr>
          <w:b/>
          <w:bCs/>
        </w:rPr>
        <w:t xml:space="preserve">Keenan Granland</w:t>
      </w:r>
      <w:r>
        <w:t xml:space="preserve"> — Lab Manager, Monash Smart Manufacturing (MSM), Faculty of Engineering — key staff partner for the MSM digital twin collaboration and Engineering-side facilities.</w:t>
      </w:r>
    </w:p>
    <w:p>
      <w:pPr>
        <w:pStyle w:val="Heading1"/>
        <w:spacing w:after="160" w:before="360"/>
      </w:pPr>
      <w:r>
        <w:rPr>
          <w:b/>
          <w:bCs/>
        </w:rPr>
        <w:t xml:space="preserve">Article 5 — Membership and Recruitment</w:t>
      </w:r>
    </w:p>
    <w:p>
      <w:pPr>
        <w:pStyle w:val="ListParagraph"/>
        <w:numPr>
          <w:ilvl w:val="0"/>
          <w:numId w:val="6"/>
        </w:numPr>
        <w:spacing w:after="80"/>
      </w:pPr>
      <w:r>
        <w:t xml:space="preserve">Membership is open to current Monash University students via the team’s recruitment rounds and onboarding forms. Eligibility follows the Monash Student Teams Procedure definition of a current student.</w:t>
      </w:r>
    </w:p>
    <w:p>
      <w:pPr>
        <w:pStyle w:val="ListParagraph"/>
        <w:numPr>
          <w:ilvl w:val="0"/>
          <w:numId w:val="6"/>
        </w:numPr>
        <w:spacing w:after="80"/>
      </w:pPr>
      <w:r>
        <w:t xml:space="preserve">MNET typically runs two general recruitment rounds per year (one per semester), advertised across the university. Applications are assessed against published criteria; applicants may be asked for tangible evidence of experience (e.g. GitHub, portfolios). Interviews are conducted by diverse panels in line with the Procedure.</w:t>
      </w:r>
    </w:p>
    <w:p>
      <w:pPr>
        <w:pStyle w:val="ListParagraph"/>
        <w:numPr>
          <w:ilvl w:val="0"/>
          <w:numId w:val="6"/>
        </w:numPr>
        <w:spacing w:after="80"/>
      </w:pPr>
      <w:r>
        <w:t xml:space="preserve">New members complete the onboarding and induction process (Welcome Pack, onboarding form, induction form, and media consent form) and receive department-specific packs (Marketing, Education, Projects, Operations).</w:t>
      </w:r>
    </w:p>
    <w:p>
      <w:pPr>
        <w:pStyle w:val="ListParagraph"/>
        <w:numPr>
          <w:ilvl w:val="0"/>
          <w:numId w:val="6"/>
        </w:numPr>
        <w:spacing w:after="80"/>
      </w:pPr>
      <w:r>
        <w:t xml:space="preserve">Members are expected to follow the Monash Student Code of Conduct and the Student Teams Procedure code provisions, participate in their Department’s meetings and sprints, and respond to calendar invitations (see Article 6).</w:t>
      </w:r>
    </w:p>
    <w:p>
      <w:pPr>
        <w:pStyle w:val="ListParagraph"/>
        <w:numPr>
          <w:ilvl w:val="0"/>
          <w:numId w:val="6"/>
        </w:numPr>
        <w:spacing w:after="80"/>
      </w:pPr>
      <w:r>
        <w:t xml:space="preserve">Members contribute through weekly sprints and workerbees; expectations are set by Portfolio leads (indicatively six hours per week on active project work).</w:t>
      </w:r>
    </w:p>
    <w:p>
      <w:pPr>
        <w:pStyle w:val="ListParagraph"/>
        <w:numPr>
          <w:ilvl w:val="0"/>
          <w:numId w:val="6"/>
        </w:numPr>
        <w:spacing w:after="80"/>
      </w:pPr>
      <w:r>
        <w:t xml:space="preserve">From July 2026, under the Student Teams Procedure, all team members (new and existing) must reapply for their position at least annually; there is no guaranteed reselection.</w:t>
      </w:r>
    </w:p>
    <w:p>
      <w:pPr>
        <w:pStyle w:val="ListParagraph"/>
        <w:numPr>
          <w:ilvl w:val="0"/>
          <w:numId w:val="6"/>
        </w:numPr>
        <w:spacing w:after="80"/>
      </w:pPr>
      <w:r>
        <w:t xml:space="preserve">One year of active membership is recognised under Engineers Australia CPD guidelines as 420 hours of experience (minimum six months’ membership for 240 hours), documented via signed statements arranged through the team’s advisors. Members may also access the ENG4802 Professional Practice (Student teams) unit for course credit, open to Engineering and IT student team members since Semester 1, 2024.</w:t>
      </w:r>
    </w:p>
    <w:p>
      <w:pPr>
        <w:pBdr>
          <w:left w:val="single" w:color="888888" w:sz="18" w:space="8"/>
        </w:pBdr>
        <w:spacing w:after="160" w:before="120"/>
        <w:ind w:left="576"/>
      </w:pPr>
      <w:r>
        <w:rPr>
          <w:b/>
          <w:bCs/>
          <w:i/>
          <w:iCs/>
        </w:rPr>
        <w:t xml:space="preserve">OPEN QUESTION: </w:t>
      </w:r>
      <w:r>
        <w:rPr>
          <w:i/>
          <w:iCs/>
        </w:rPr>
        <w:t xml:space="preserve">Formalise membership tiers (active member, senior member, alumni) and any attendance requirements.</w:t>
      </w:r>
    </w:p>
    <w:p>
      <w:pPr>
        <w:pStyle w:val="Heading1"/>
        <w:spacing w:after="160" w:before="360"/>
      </w:pPr>
      <w:r>
        <w:rPr>
          <w:b/>
          <w:bCs/>
        </w:rPr>
        <w:t xml:space="preserve">Article 6 — Meetings and Communication</w:t>
      </w:r>
    </w:p>
    <w:p>
      <w:pPr>
        <w:pStyle w:val="Heading2"/>
        <w:spacing w:after="120" w:before="240"/>
      </w:pPr>
      <w:r>
        <w:rPr>
          <w:b/>
          <w:bCs/>
        </w:rPr>
        <w:t xml:space="preserve">6.1 The MNET Schedule (Google Calendar)</w:t>
      </w:r>
    </w:p>
    <w:p>
      <w:pPr>
        <w:pStyle w:val="ListParagraph"/>
        <w:numPr>
          <w:ilvl w:val="0"/>
          <w:numId w:val="7"/>
        </w:numPr>
        <w:spacing w:after="80"/>
      </w:pPr>
      <w:r>
        <w:t xml:space="preserve">All team meetings and events are managed through Google Calendar on the shared team calendar, the </w:t>
      </w:r>
      <w:r>
        <w:rPr>
          <w:b/>
          <w:bCs/>
        </w:rPr>
        <w:t xml:space="preserve">MNET Schedule</w:t>
      </w:r>
      <w:r>
        <w:t xml:space="preserve">, which updates in real time.</w:t>
      </w:r>
    </w:p>
    <w:p>
      <w:pPr>
        <w:pStyle w:val="ListParagraph"/>
        <w:numPr>
          <w:ilvl w:val="0"/>
          <w:numId w:val="7"/>
        </w:numPr>
        <w:spacing w:after="80"/>
      </w:pPr>
      <w:r>
        <w:t xml:space="preserve">Every member of MNET is automatically invited to team events through their Monash email account. Members must keep their Monash account linked so they do not miss invitations or schedule changes.</w:t>
      </w:r>
    </w:p>
    <w:p>
      <w:pPr>
        <w:pStyle w:val="ListParagraph"/>
        <w:numPr>
          <w:ilvl w:val="0"/>
          <w:numId w:val="7"/>
        </w:numPr>
        <w:spacing w:after="80"/>
      </w:pPr>
      <w:r>
        <w:t xml:space="preserve">Members are expected to RSVP ("Yes", "No", or "Maybe") to every invitation as early as possible; when unable to attend, members should add a short note explaining why, so leads can plan around attendance.</w:t>
      </w:r>
    </w:p>
    <w:p>
      <w:pPr>
        <w:pStyle w:val="Heading2"/>
        <w:spacing w:after="120" w:before="240"/>
      </w:pPr>
      <w:r>
        <w:rPr>
          <w:b/>
          <w:bCs/>
        </w:rPr>
        <w:t xml:space="preserve">6.2 Internal meeting types</w:t>
      </w:r>
    </w:p>
    <w:p>
      <w:pPr>
        <w:pStyle w:val="ListParagraph"/>
        <w:numPr>
          <w:ilvl w:val="0"/>
          <w:numId w:val="3"/>
        </w:numPr>
        <w:spacing w:after="60"/>
      </w:pPr>
      <w:r>
        <w:rPr>
          <w:b/>
          <w:bCs/>
        </w:rPr>
        <w:t xml:space="preserve">Mega Meets</w:t>
      </w:r>
      <w:r>
        <w:t xml:space="preserve"> (quarterly — everyone at MNET): team-wide alignment forums to review the past quarter, share achievements, and plan the next quarter, with presentations from department leads and open feedback sessions.</w:t>
      </w:r>
    </w:p>
    <w:p>
      <w:pPr>
        <w:pStyle w:val="ListParagraph"/>
        <w:numPr>
          <w:ilvl w:val="0"/>
          <w:numId w:val="3"/>
        </w:numPr>
        <w:spacing w:after="60"/>
      </w:pPr>
      <w:r>
        <w:rPr>
          <w:b/>
          <w:bCs/>
        </w:rPr>
        <w:t xml:space="preserve">Huddles</w:t>
      </w:r>
      <w:r>
        <w:t xml:space="preserve"> (monthly — department-specific): department-wide meetings aligning individual and departmental goals with team objectives; review progress trackers and goal bars in Notion; a forum for feedback, goal-setting, and following members’ interests — not just performance discussion.</w:t>
      </w:r>
    </w:p>
    <w:p>
      <w:pPr>
        <w:pStyle w:val="ListParagraph"/>
        <w:numPr>
          <w:ilvl w:val="0"/>
          <w:numId w:val="3"/>
        </w:numPr>
        <w:spacing w:after="60"/>
      </w:pPr>
      <w:r>
        <w:rPr>
          <w:b/>
          <w:bCs/>
        </w:rPr>
        <w:t xml:space="preserve">Workerbee sessions</w:t>
      </w:r>
      <w:r>
        <w:t xml:space="preserve"> (1–2 times per week — department- or portfolio-specific): hands-on working sessions and operational check-ins covering attendance, task updates, roadblocks, and shared productivity.</w:t>
      </w:r>
    </w:p>
    <w:p>
      <w:pPr>
        <w:pStyle w:val="ListParagraph"/>
        <w:numPr>
          <w:ilvl w:val="0"/>
          <w:numId w:val="3"/>
        </w:numPr>
        <w:spacing w:after="60"/>
      </w:pPr>
      <w:r>
        <w:rPr>
          <w:b/>
          <w:bCs/>
        </w:rPr>
        <w:t xml:space="preserve">Event planning meetings</w:t>
      </w:r>
      <w:r>
        <w:t xml:space="preserve"> (event-specific — all relevant members): dedicated sessions to plan and execute events on the MNET Schedule, with roles, logistics, and action items assigned.</w:t>
      </w:r>
    </w:p>
    <w:p>
      <w:pPr>
        <w:pStyle w:val="ListParagraph"/>
        <w:numPr>
          <w:ilvl w:val="0"/>
          <w:numId w:val="3"/>
        </w:numPr>
        <w:spacing w:after="60"/>
      </w:pPr>
      <w:r>
        <w:rPr>
          <w:b/>
          <w:bCs/>
        </w:rPr>
        <w:t xml:space="preserve">Leadership All-Hands</w:t>
      </w:r>
      <w:r>
        <w:t xml:space="preserve"> (ad hoc — leads only): convened around major organisational changes, critical decisions, or high-stakes engagements.</w:t>
      </w:r>
    </w:p>
    <w:p>
      <w:pPr>
        <w:pStyle w:val="Heading2"/>
        <w:spacing w:after="120" w:before="240"/>
      </w:pPr>
      <w:r>
        <w:rPr>
          <w:b/>
          <w:bCs/>
        </w:rPr>
        <w:t xml:space="preserve">6.3 External and representative meetings</w:t>
      </w:r>
    </w:p>
    <w:p>
      <w:pPr>
        <w:pStyle w:val="ListParagraph"/>
        <w:numPr>
          <w:ilvl w:val="0"/>
          <w:numId w:val="3"/>
        </w:numPr>
        <w:spacing w:after="60"/>
      </w:pPr>
      <w:r>
        <w:rPr>
          <w:b/>
          <w:bCs/>
        </w:rPr>
        <w:t xml:space="preserve">ITTA (IT Teams Association)</w:t>
      </w:r>
      <w:r>
        <w:t xml:space="preserve"> — the communication and coordination hub between MSTI and the Faculty of IT teams; consolidates queries from FIT-based teams (e.g. MAPS, MATT, MDN, MNET) with the designated Student Teams Officer. MNET (as METTA) was a founding participant when ITTA formed in October–November 2023.</w:t>
      </w:r>
    </w:p>
    <w:p>
      <w:pPr>
        <w:pStyle w:val="ListParagraph"/>
        <w:numPr>
          <w:ilvl w:val="0"/>
          <w:numId w:val="3"/>
        </w:numPr>
        <w:spacing w:after="60"/>
      </w:pPr>
      <w:r>
        <w:rPr>
          <w:b/>
          <w:bCs/>
        </w:rPr>
        <w:t xml:space="preserve">MSTI Forums</w:t>
      </w:r>
      <w:r>
        <w:t xml:space="preserve"> (each trimester) — organisation-wide updates on governance, processes, and resources for all Engineering and IT student teams, including presentations from the Advancement Team and HR matters. Student Teams &amp; Clubs forums have run since at least May 2019.</w:t>
      </w:r>
    </w:p>
    <w:p>
      <w:pPr>
        <w:pStyle w:val="ListParagraph"/>
        <w:numPr>
          <w:ilvl w:val="0"/>
          <w:numId w:val="3"/>
        </w:numPr>
        <w:spacing w:after="60"/>
      </w:pPr>
      <w:r>
        <w:rPr>
          <w:b/>
          <w:bCs/>
        </w:rPr>
        <w:t xml:space="preserve">VARS meetings</w:t>
      </w:r>
      <w:r>
        <w:t xml:space="preserve"> — collaboration meetings with eSolutions Virtual and Augmented Reality Services on AR/VR initiatives, lab spaces, and shared projects.</w:t>
      </w:r>
    </w:p>
    <w:p>
      <w:pPr>
        <w:pStyle w:val="ListParagraph"/>
        <w:numPr>
          <w:ilvl w:val="0"/>
          <w:numId w:val="3"/>
        </w:numPr>
        <w:spacing w:after="60"/>
      </w:pPr>
      <w:r>
        <w:rPr>
          <w:b/>
          <w:bCs/>
        </w:rPr>
        <w:t xml:space="preserve">EmVis / Immersive Analytics Lab meetings</w:t>
      </w:r>
      <w:r>
        <w:t xml:space="preserve"> — research collaboration meetings with the Embodied Visualisation group on immersive analytics projects, publications, and showcases.</w:t>
      </w:r>
    </w:p>
    <w:p>
      <w:pPr>
        <w:pStyle w:val="ListParagraph"/>
        <w:numPr>
          <w:ilvl w:val="0"/>
          <w:numId w:val="3"/>
        </w:numPr>
        <w:spacing w:after="60"/>
      </w:pPr>
      <w:r>
        <w:rPr>
          <w:b/>
          <w:bCs/>
        </w:rPr>
        <w:t xml:space="preserve">Supervisor meetings</w:t>
      </w:r>
      <w:r>
        <w:t xml:space="preserve"> — regular meetings between team leadership and the team’s academic advisors/supervisors.</w:t>
      </w:r>
    </w:p>
    <w:p>
      <w:pPr>
        <w:pStyle w:val="Heading2"/>
        <w:spacing w:after="120" w:before="240"/>
      </w:pPr>
      <w:r>
        <w:rPr>
          <w:b/>
          <w:bCs/>
        </w:rPr>
        <w:t xml:space="preserve">6.4 Day-to-day communication</w:t>
      </w:r>
    </w:p>
    <w:p>
      <w:pPr>
        <w:spacing w:after="120"/>
      </w:pPr>
      <w:r>
        <w:t xml:space="preserve">Discord is the team’s day-to-day communication platform; Notion is the single source of truth for documentation, portfolios, tasks, and meeting notes (Meetings and Lead Meetings databases). Meeting notes should be recorded in Notion.</w:t>
      </w:r>
    </w:p>
    <w:p>
      <w:pPr>
        <w:pStyle w:val="Heading1"/>
        <w:spacing w:after="160" w:before="360"/>
      </w:pPr>
      <w:r>
        <w:rPr>
          <w:b/>
          <w:bCs/>
        </w:rPr>
        <w:t xml:space="preserve">Article 7 — Operations</w:t>
      </w:r>
    </w:p>
    <w:p>
      <w:pPr>
        <w:pStyle w:val="Heading2"/>
        <w:spacing w:after="120" w:before="240"/>
      </w:pPr>
      <w:r>
        <w:rPr>
          <w:b/>
          <w:bCs/>
        </w:rPr>
        <w:t xml:space="preserve">7.1 Tools and Infrastructure</w:t>
      </w:r>
    </w:p>
    <w:p>
      <w:pPr>
        <w:pStyle w:val="ListParagraph"/>
        <w:numPr>
          <w:ilvl w:val="0"/>
          <w:numId w:val="3"/>
        </w:numPr>
        <w:spacing w:after="60"/>
      </w:pPr>
      <w:r>
        <w:rPr>
          <w:b/>
          <w:bCs/>
        </w:rPr>
        <w:t xml:space="preserve">Notion</w:t>
      </w:r>
      <w:r>
        <w:t xml:space="preserve"> — single source of truth for portfolios, tasks, sprints, members, meeting notes, and documentation.</w:t>
      </w:r>
    </w:p>
    <w:p>
      <w:pPr>
        <w:pStyle w:val="ListParagraph"/>
        <w:numPr>
          <w:ilvl w:val="0"/>
          <w:numId w:val="3"/>
        </w:numPr>
        <w:spacing w:after="60"/>
      </w:pPr>
      <w:r>
        <w:rPr>
          <w:b/>
          <w:bCs/>
        </w:rPr>
        <w:t xml:space="preserve">Google Workspace</w:t>
      </w:r>
      <w:r>
        <w:t xml:space="preserve"> — the team Drive and the MNET Schedule calendar (Article 6).</w:t>
      </w:r>
    </w:p>
    <w:p>
      <w:pPr>
        <w:pStyle w:val="ListParagraph"/>
        <w:numPr>
          <w:ilvl w:val="0"/>
          <w:numId w:val="3"/>
        </w:numPr>
        <w:spacing w:after="60"/>
      </w:pPr>
      <w:r>
        <w:rPr>
          <w:b/>
          <w:bCs/>
        </w:rPr>
        <w:t xml:space="preserve">Discord</w:t>
      </w:r>
      <w:r>
        <w:t xml:space="preserve"> — day-to-day team communication.</w:t>
      </w:r>
    </w:p>
    <w:p>
      <w:pPr>
        <w:pStyle w:val="ListParagraph"/>
        <w:numPr>
          <w:ilvl w:val="0"/>
          <w:numId w:val="3"/>
        </w:numPr>
        <w:spacing w:after="60"/>
      </w:pPr>
      <w:r>
        <w:rPr>
          <w:b/>
          <w:bCs/>
        </w:rPr>
        <w:t xml:space="preserve">GitHub (Monash-Emerging-Tech)</w:t>
      </w:r>
      <w:r>
        <w:t xml:space="preserve"> — code, including the team website (web-nexus).</w:t>
      </w:r>
    </w:p>
    <w:p>
      <w:pPr>
        <w:pStyle w:val="Heading2"/>
        <w:spacing w:after="120" w:before="240"/>
      </w:pPr>
      <w:r>
        <w:rPr>
          <w:b/>
          <w:bCs/>
        </w:rPr>
        <w:t xml:space="preserve">7.2 Finance and Assets</w:t>
      </w:r>
    </w:p>
    <w:p>
      <w:pPr>
        <w:spacing w:after="120"/>
      </w:pPr>
      <w:r>
        <w:t xml:space="preserve">Operations maintains the finance and asset-management databases, including physical asset tracking (VR headsets and capture equipment such as Apple Vision Pro, Meta Quest Pro, HoloLens 2, Insta360 Pro 2, and Vive trackers) and bookings for team facilities. University purchasing runs through Coupa via MSTI processes; MSTI/Makerspace vehicles, trailers, and marketing gear are booked through the Reftab portal.</w:t>
      </w:r>
    </w:p>
    <w:p>
      <w:pPr>
        <w:spacing w:after="120"/>
      </w:pPr>
      <w:r>
        <w:t xml:space="preserve">Team funding comes from the Faculty of Information Technology through MSTI, released in tranches against an approved plan (</w:t>
      </w:r>
      <w:r>
        <w:rPr>
          <w:i/>
          <w:iCs/>
        </w:rPr>
        <w:t xml:space="preserve">e.g. 2024: $4,000 MSTI; 2025: $6,500 MSTI plus $2,150 FIT</w:t>
      </w:r>
      <w:r>
        <w:t xml:space="preserve">). Additional funding requires sponsorship or external partners.</w:t>
      </w:r>
    </w:p>
    <w:p>
      <w:pPr>
        <w:pBdr>
          <w:left w:val="single" w:color="888888" w:sz="18" w:space="8"/>
        </w:pBdr>
        <w:spacing w:after="160" w:before="120"/>
        <w:ind w:left="576"/>
      </w:pPr>
      <w:r>
        <w:rPr>
          <w:b/>
          <w:bCs/>
          <w:i/>
          <w:iCs/>
        </w:rPr>
        <w:t xml:space="preserve">OPEN QUESTION: </w:t>
      </w:r>
      <w:r>
        <w:rPr>
          <w:i/>
          <w:iCs/>
        </w:rPr>
        <w:t xml:space="preserve">Document the internal budget approval flow and asset borrowing rules.</w:t>
      </w:r>
    </w:p>
    <w:p>
      <w:pPr>
        <w:pStyle w:val="Heading2"/>
        <w:spacing w:after="120" w:before="240"/>
      </w:pPr>
      <w:r>
        <w:rPr>
          <w:b/>
          <w:bCs/>
        </w:rPr>
        <w:t xml:space="preserve">7.3 Facilities</w:t>
      </w:r>
    </w:p>
    <w:p>
      <w:pPr>
        <w:spacing w:after="120"/>
      </w:pPr>
      <w:r>
        <w:t xml:space="preserve">MNET operates from the Digital Makerspace and accesses the Mixed Reality Studio (Woodside), eSolutions VARS Labs, the Immersive Analytics Lab, the Design and Build Studio, and the Smart Manufacturing Hub, subject to each facility’s rules and inductions.</w:t>
      </w:r>
    </w:p>
    <w:p>
      <w:pPr>
        <w:pStyle w:val="Heading1"/>
        <w:spacing w:after="160" w:before="360"/>
      </w:pPr>
      <w:r>
        <w:rPr>
          <w:b/>
          <w:bCs/>
        </w:rPr>
        <w:t xml:space="preserve">Article 8 — Governance within the University</w:t>
      </w:r>
    </w:p>
    <w:p>
      <w:pPr>
        <w:pStyle w:val="ListParagraph"/>
        <w:numPr>
          <w:ilvl w:val="0"/>
          <w:numId w:val="8"/>
        </w:numPr>
        <w:spacing w:after="80"/>
      </w:pPr>
      <w:r>
        <w:t xml:space="preserve">MNET is an endorsed team of the </w:t>
      </w:r>
      <w:r>
        <w:rPr>
          <w:b/>
          <w:bCs/>
        </w:rPr>
        <w:t xml:space="preserve">Monash Student Team Initiative (MSTI)</w:t>
      </w:r>
      <w:r>
        <w:t xml:space="preserve">. MSTI teams are governed by the Monash Student Teams Procedure (Version 2, effective 2 July 2026). Teams are not permitted to develop procedures that conflict with that document; this constitution must align with, and defers to, the Procedure and all relevant University policies.</w:t>
      </w:r>
    </w:p>
    <w:p>
      <w:pPr>
        <w:pStyle w:val="ListParagraph"/>
        <w:numPr>
          <w:ilvl w:val="0"/>
          <w:numId w:val="8"/>
        </w:numPr>
        <w:spacing w:after="80"/>
      </w:pPr>
      <w:r>
        <w:t xml:space="preserve">Key obligations under the Procedure include: the Student Code of Conduct (teams may not create their own codes of conduct); alcohol-free team events; equity, diversity and anti-discrimination requirements including gender-balanced recruiting practices; documented recruitment with probation (3–6 months) and annual reapplication from July 2026; onboarding training (including Respect at Monash and OHS inductions) within three months of joining; and the multi-stage travel EOI and approval process for domestic and international travel.</w:t>
      </w:r>
    </w:p>
    <w:p>
      <w:pPr>
        <w:pStyle w:val="ListParagraph"/>
        <w:numPr>
          <w:ilvl w:val="0"/>
          <w:numId w:val="8"/>
        </w:numPr>
        <w:spacing w:after="80"/>
      </w:pPr>
      <w:r>
        <w:t xml:space="preserve">A twice-yearly governance review committee reviews existing teams, new team requests, budget distribution, and alignment with the University’s strategic plan (Impact 2030). As of December 2025 a new organisational structure approved by the Faculty Executive separates facility management (Makerspace network) from student team oversight, with the Director of Student Teams in a strategic role supported by professional staff (Student Experience Coordinators, technical officers for risk and safety).</w:t>
      </w:r>
    </w:p>
    <w:p>
      <w:pPr>
        <w:pStyle w:val="ListParagraph"/>
        <w:numPr>
          <w:ilvl w:val="0"/>
          <w:numId w:val="8"/>
        </w:numPr>
        <w:spacing w:after="80"/>
      </w:pPr>
      <w:r>
        <w:rPr>
          <w:b/>
          <w:bCs/>
        </w:rPr>
        <w:t xml:space="preserve">Reporting: </w:t>
      </w:r>
      <w:r>
        <w:t xml:space="preserve">MNET submits an End of Year Report to MSTI each December using the provided template, covering demographics, operations, events and engagement, social media data, finances (cash expenses and funding), conclusions, and the next year’s funding request. The 2024 and 2025 reports are the canonical public record of the team’s activities and growth.</w:t>
      </w:r>
    </w:p>
    <w:p>
      <w:pPr>
        <w:pStyle w:val="ListParagraph"/>
        <w:numPr>
          <w:ilvl w:val="0"/>
          <w:numId w:val="8"/>
        </w:numPr>
        <w:spacing w:after="80"/>
      </w:pPr>
      <w:r>
        <w:t xml:space="preserve">Faculty context: the Faculty of Engineering took over primary funding of student teams from Engineering departments in 2021; MNET’s funding is provisioned through the Faculty of IT. MNET participates in ITTA and MSTI Forums (Article 6.3) as the FIT-side coordination channels.</w:t>
      </w:r>
    </w:p>
    <w:p>
      <w:pPr>
        <w:pStyle w:val="Heading1"/>
        <w:spacing w:after="160" w:before="360"/>
      </w:pPr>
      <w:r>
        <w:rPr>
          <w:b/>
          <w:bCs/>
        </w:rPr>
        <w:t xml:space="preserve">Article 9 — Partnerships and the Monash Ecosystem</w:t>
      </w:r>
    </w:p>
    <w:p>
      <w:pPr>
        <w:pStyle w:val="Heading2"/>
        <w:spacing w:after="120" w:before="240"/>
      </w:pPr>
      <w:r>
        <w:rPr>
          <w:b/>
          <w:bCs/>
        </w:rPr>
        <w:t xml:space="preserve">9.1 Faculty of IT — Human-Centred Computing and EmVis</w:t>
      </w:r>
    </w:p>
    <w:p>
      <w:pPr>
        <w:pStyle w:val="ListParagraph"/>
        <w:numPr>
          <w:ilvl w:val="0"/>
          <w:numId w:val="9"/>
        </w:numPr>
        <w:spacing w:after="80"/>
      </w:pPr>
      <w:r>
        <w:t xml:space="preserve">MNET’s closest academic home is the </w:t>
      </w:r>
      <w:r>
        <w:rPr>
          <w:b/>
          <w:bCs/>
        </w:rPr>
        <w:t xml:space="preserve">Department of Human-Centred Computing (HCC)</w:t>
      </w:r>
      <w:r>
        <w:t xml:space="preserve"> in the Faculty of Information Technology — a department dedicated to human-computer interaction and socially responsible IT (Monash ranks among the world’s top 10 in HCI by ACM CHI publications). Both of MNET’s FIT academic advisors are HCC faculty.</w:t>
      </w:r>
    </w:p>
    <w:p>
      <w:pPr>
        <w:pStyle w:val="ListParagraph"/>
        <w:numPr>
          <w:ilvl w:val="0"/>
          <w:numId w:val="9"/>
        </w:numPr>
        <w:spacing w:after="80"/>
      </w:pPr>
      <w:r>
        <w:t xml:space="preserve">Within HCC, MNET works most closely with the </w:t>
      </w:r>
      <w:r>
        <w:rPr>
          <w:b/>
          <w:bCs/>
        </w:rPr>
        <w:t xml:space="preserve">Embodied Visualisation (EmVis) group</w:t>
      </w:r>
      <w:r>
        <w:t xml:space="preserve"> — led by Professor Tim Dwyer — which "brings data out of computers and into the world around us" through immersive display and interaction technologies (large interactive surfaces, AR/VR) for data analysis and decision-making, and runs the Immersive Analytics Lab. Joint MNET×EmVis work includes the Globes App for Apple Vision Pro (with Stanford University, using the David Rumsey Map Collection — shown at SXSW Sydney and demonstrated to the Chancellor and the Ministers of Education of Australia and India at the Monash Innovation Precinct), the Bali AVP digital heritage project (with the Indonesian government, using Gaussian splatting), BikeVR, and the annual Embodied Visualisation Group showcase.</w:t>
      </w:r>
    </w:p>
    <w:p>
      <w:pPr>
        <w:pStyle w:val="Heading2"/>
        <w:spacing w:after="120" w:before="240"/>
      </w:pPr>
      <w:r>
        <w:rPr>
          <w:b/>
          <w:bCs/>
        </w:rPr>
        <w:t xml:space="preserve">9.2 Games and Immersive Media (GIM)</w:t>
      </w:r>
    </w:p>
    <w:p>
      <w:pPr>
        <w:pStyle w:val="ListParagraph"/>
        <w:numPr>
          <w:ilvl w:val="0"/>
          <w:numId w:val="9"/>
        </w:numPr>
        <w:spacing w:after="80"/>
      </w:pPr>
      <w:r>
        <w:t xml:space="preserve">MNET works with students of FIT’s </w:t>
      </w:r>
      <w:r>
        <w:rPr>
          <w:b/>
          <w:bCs/>
        </w:rPr>
        <w:t xml:space="preserve">Games and Immersive Media (GIM)</w:t>
      </w:r>
      <w:r>
        <w:t xml:space="preserve"> program — the major and minors spanning 3D modelling, game design, character animation and motion capture, games programming, VR/AR, immersive environments, technical art, sonics, and studio projects. GIM students are one of MNET’s largest cohorts (about a fifth of the team’s IT-major members in 2025), and MNET provides them portfolio-building project work, showcases, and industry exposure alongside the GIM Showcase.</w:t>
      </w:r>
    </w:p>
    <w:p>
      <w:pPr>
        <w:pStyle w:val="Heading2"/>
        <w:spacing w:after="120" w:before="240"/>
      </w:pPr>
      <w:r>
        <w:rPr>
          <w:b/>
          <w:bCs/>
        </w:rPr>
        <w:t xml:space="preserve">9.3 eSolutions VARS and university services</w:t>
      </w:r>
    </w:p>
    <w:p>
      <w:pPr>
        <w:pStyle w:val="ListParagraph"/>
        <w:numPr>
          <w:ilvl w:val="0"/>
          <w:numId w:val="9"/>
        </w:numPr>
        <w:spacing w:after="80"/>
      </w:pPr>
      <w:r>
        <w:rPr>
          <w:b/>
          <w:bCs/>
        </w:rPr>
        <w:t xml:space="preserve">eSolutions Virtual and Augmented Reality Services (VARS)</w:t>
      </w:r>
      <w:r>
        <w:t xml:space="preserve"> is a principal partner and MNET’s original incubator (the METTA era began under VARS). Collaboration spans lab access, equipment loans, and projects including PEPtrack VR, the VARS inventory management platform, and the full-body haptic-suit VR telerobotics final-year project.</w:t>
      </w:r>
    </w:p>
    <w:p>
      <w:pPr>
        <w:pStyle w:val="Heading2"/>
        <w:spacing w:after="120" w:before="240"/>
      </w:pPr>
      <w:r>
        <w:rPr>
          <w:b/>
          <w:bCs/>
        </w:rPr>
        <w:t xml:space="preserve">9.4 Student teams and organisations</w:t>
      </w:r>
    </w:p>
    <w:p>
      <w:pPr>
        <w:pStyle w:val="ListParagraph"/>
        <w:numPr>
          <w:ilvl w:val="0"/>
          <w:numId w:val="9"/>
        </w:numPr>
        <w:spacing w:after="80"/>
      </w:pPr>
      <w:r>
        <w:t xml:space="preserve">MNET collaborates with student teams and organisations including MBEST (Virtual TBM Museum), MPP (wastewater digital twin), MSB (VR architecture showcase), MCAV (autonomous-vehicle VR simulation), MDN and MAC (Tech Futures Industry Nights), BiOM (joint Healesville Sanctuary trip), SWM, MonLEE, Monash Maveric, IA Labs, SMEE, CCA, Monash College, and MSDI (Fire to Flourish).</w:t>
      </w:r>
    </w:p>
    <w:p>
      <w:pPr>
        <w:pStyle w:val="Heading2"/>
        <w:spacing w:after="120" w:before="240"/>
      </w:pPr>
      <w:r>
        <w:rPr>
          <w:b/>
          <w:bCs/>
        </w:rPr>
        <w:t xml:space="preserve">9.5 Industry and research partners</w:t>
      </w:r>
    </w:p>
    <w:p>
      <w:pPr>
        <w:pStyle w:val="ListParagraph"/>
        <w:numPr>
          <w:ilvl w:val="0"/>
          <w:numId w:val="9"/>
        </w:numPr>
        <w:spacing w:after="80"/>
      </w:pPr>
      <w:r>
        <w:t xml:space="preserve">Stakeholders engaged (per the 2025 End of Year Report) include Microsoft, Telstra, EY, Capgemini, Hewlett Packard Enterprise, Blackmagic Design, 360 Productions AU, Engineers Australia, ANSTO, CrowdStrike, XENON High Performance Computing, Macquarie Bank, Databricks, Altair, Ventia, MindFlight7, Canopy Creative, ARES Inologies, Toasterface Games, Meta, and Moderna, alongside Stanford University and the Monash Sustainable Development Institute. The Sponsorship &amp; Outreach section (Operations) manages industry sponsorship, donations, and the MNET Industry email account.</w:t>
      </w:r>
    </w:p>
    <w:p>
      <w:pPr>
        <w:pBdr>
          <w:left w:val="single" w:color="888888" w:sz="18" w:space="8"/>
        </w:pBdr>
        <w:spacing w:after="160" w:before="120"/>
        <w:ind w:left="576"/>
      </w:pPr>
      <w:r>
        <w:rPr>
          <w:b/>
          <w:bCs/>
          <w:i/>
          <w:iCs/>
        </w:rPr>
        <w:t xml:space="preserve">OPEN QUESTION: </w:t>
      </w:r>
      <w:r>
        <w:rPr>
          <w:i/>
          <w:iCs/>
        </w:rPr>
        <w:t xml:space="preserve">Define sponsorship tiers/benefits and the approval process for new partnerships.</w:t>
      </w:r>
    </w:p>
    <w:p>
      <w:pPr>
        <w:pStyle w:val="Heading1"/>
        <w:spacing w:after="160" w:before="360"/>
      </w:pPr>
      <w:r>
        <w:rPr>
          <w:b/>
          <w:bCs/>
        </w:rPr>
        <w:t xml:space="preserve">Article 10 — Events and Outreach</w:t>
      </w:r>
    </w:p>
    <w:p>
      <w:pPr>
        <w:pStyle w:val="ListParagraph"/>
        <w:numPr>
          <w:ilvl w:val="0"/>
          <w:numId w:val="3"/>
        </w:numPr>
        <w:spacing w:after="60"/>
      </w:pPr>
      <w:r>
        <w:rPr>
          <w:b/>
          <w:bCs/>
        </w:rPr>
        <w:t xml:space="preserve">Major recurring events</w:t>
      </w:r>
      <w:r>
        <w:t xml:space="preserve"> — O-Week (both semesters), Open Day, Tech Futures Industry Night/Expo (with MDN and MAC; 400+ students and 15+ companies across 2025), IT Fair, Meet the IT Community nights, showcases, and the end-of-year internal showcase.</w:t>
      </w:r>
    </w:p>
    <w:p>
      <w:pPr>
        <w:pStyle w:val="ListParagraph"/>
        <w:numPr>
          <w:ilvl w:val="0"/>
          <w:numId w:val="3"/>
        </w:numPr>
        <w:spacing w:after="60"/>
      </w:pPr>
      <w:r>
        <w:rPr>
          <w:b/>
          <w:bCs/>
        </w:rPr>
        <w:t xml:space="preserve">External expos and conferences</w:t>
      </w:r>
      <w:r>
        <w:t xml:space="preserve"> — SXSW Sydney (representing the Faculty of IT), PAX Aus, The Game Expo (TGX), Augmented World Expo (Auggie Awards, educational branch), BLAST 3D, and research competitions such as IEEE VR and the SXSW XR Showcase.</w:t>
      </w:r>
    </w:p>
    <w:p>
      <w:pPr>
        <w:pStyle w:val="ListParagraph"/>
        <w:numPr>
          <w:ilvl w:val="0"/>
          <w:numId w:val="3"/>
        </w:numPr>
        <w:spacing w:after="60"/>
      </w:pPr>
      <w:r>
        <w:rPr>
          <w:b/>
          <w:bCs/>
        </w:rPr>
        <w:t xml:space="preserve">Education and outreach</w:t>
      </w:r>
      <w:r>
        <w:t xml:space="preserve"> — workshops (Womp, Spline, Maya, Unity, Git, Intro XR), Quantum Qiskit Fallfest with IBM Qiskit ambassadors, high-school programs (MacRob, SPARK with Youth Without Borders, Minaret, Thai student visits), and Monash College engagements (3D showcases, career expos, student fairs).</w:t>
      </w:r>
    </w:p>
    <w:p>
      <w:pPr>
        <w:pStyle w:val="ListParagraph"/>
        <w:numPr>
          <w:ilvl w:val="0"/>
          <w:numId w:val="3"/>
        </w:numPr>
        <w:spacing w:after="60"/>
      </w:pPr>
      <w:r>
        <w:rPr>
          <w:b/>
          <w:bCs/>
        </w:rPr>
        <w:t xml:space="preserve">Community and social</w:t>
      </w:r>
      <w:r>
        <w:t xml:space="preserve"> — Fire to Flourish volunteering with Habitat for Humanity Victoria, zoo trips, movie and board-game nights, and team socials.</w:t>
      </w:r>
    </w:p>
    <w:p>
      <w:pPr>
        <w:pStyle w:val="Heading1"/>
        <w:spacing w:after="160" w:before="360"/>
      </w:pPr>
      <w:r>
        <w:rPr>
          <w:b/>
          <w:bCs/>
        </w:rPr>
        <w:t xml:space="preserve">Article 11 — History of the Team</w:t>
      </w:r>
    </w:p>
    <w:p>
      <w:pPr>
        <w:pStyle w:val="ListParagraph"/>
        <w:numPr>
          <w:ilvl w:val="0"/>
          <w:numId w:val="3"/>
        </w:numPr>
        <w:spacing w:after="60"/>
      </w:pPr>
      <w:r>
        <w:rPr>
          <w:b/>
          <w:bCs/>
        </w:rPr>
        <w:t xml:space="preserve">2022</w:t>
      </w:r>
      <w:r>
        <w:t xml:space="preserve"> — Founded as METTA (Monash Emerging Technology Themes and Applications) under eSolutions VARS.</w:t>
      </w:r>
    </w:p>
    <w:p>
      <w:pPr>
        <w:pStyle w:val="ListParagraph"/>
        <w:numPr>
          <w:ilvl w:val="0"/>
          <w:numId w:val="3"/>
        </w:numPr>
        <w:spacing w:after="60"/>
      </w:pPr>
      <w:r>
        <w:rPr>
          <w:b/>
          <w:bCs/>
        </w:rPr>
        <w:t xml:space="preserve">2023</w:t>
      </w:r>
      <w:r>
        <w:t xml:space="preserve"> — Co-led by Rohan Kalanje and Jackie Ho. METTA is a founding participant of the IT Teams Association (ITTA) at its formation in October–November 2023.</w:t>
      </w:r>
    </w:p>
    <w:p>
      <w:pPr>
        <w:pStyle w:val="ListParagraph"/>
        <w:numPr>
          <w:ilvl w:val="0"/>
          <w:numId w:val="3"/>
        </w:numPr>
        <w:spacing w:after="60"/>
      </w:pPr>
      <w:r>
        <w:rPr>
          <w:b/>
          <w:bCs/>
        </w:rPr>
        <w:t xml:space="preserve">Semester 1, 2024</w:t>
      </w:r>
      <w:r>
        <w:t xml:space="preserve"> — Rebuilding recruitment round (52 applicants, 10 accepted) restarts the team after a largely inactive period; collaborative VARS-era projects (PEPtrack VR, MBEST Virtual Museum, MSB VR showcase, MPP digital twin).</w:t>
      </w:r>
    </w:p>
    <w:p>
      <w:pPr>
        <w:pStyle w:val="ListParagraph"/>
        <w:numPr>
          <w:ilvl w:val="0"/>
          <w:numId w:val="3"/>
        </w:numPr>
        <w:spacing w:after="60"/>
      </w:pPr>
      <w:r>
        <w:rPr>
          <w:b/>
          <w:bCs/>
        </w:rPr>
        <w:t xml:space="preserve">4 July 2024</w:t>
      </w:r>
      <w:r>
        <w:t xml:space="preserve"> — The MNET name is approved by the Faculty of IT (request by Rohan Kalanje, 2 July), resolving confusion with the META teaching club and an objection from Meta Inc. during sponsorship talks, and reflecting a scope beyond "themes and applications".</w:t>
      </w:r>
    </w:p>
    <w:p>
      <w:pPr>
        <w:pStyle w:val="ListParagraph"/>
        <w:numPr>
          <w:ilvl w:val="0"/>
          <w:numId w:val="3"/>
        </w:numPr>
        <w:spacing w:after="60"/>
      </w:pPr>
      <w:r>
        <w:rPr>
          <w:b/>
          <w:bCs/>
        </w:rPr>
        <w:t xml:space="preserve">Late 2024</w:t>
      </w:r>
      <w:r>
        <w:t xml:space="preserve"> — Website (monashemerging.tech) and social channels launch; SXSW Sydney, PAX Aus, and TGX appearances; Globes App recognition from the Chancellor and the Education Ministers of Australia and India; first End of Year Report to MSTI (38 members).</w:t>
      </w:r>
    </w:p>
    <w:p>
      <w:pPr>
        <w:pStyle w:val="ListParagraph"/>
        <w:numPr>
          <w:ilvl w:val="0"/>
          <w:numId w:val="3"/>
        </w:numPr>
        <w:spacing w:after="60"/>
      </w:pPr>
      <w:r>
        <w:rPr>
          <w:b/>
          <w:bCs/>
        </w:rPr>
        <w:t xml:space="preserve">2 July 2025</w:t>
      </w:r>
      <w:r>
        <w:t xml:space="preserve"> — Rohan Kalanje announces the leadership transition: Luke Downward and Sabi (Isabelle) Fernan as incoming leads; Hamish, Meagan, and Eunice step up in Operations/Marketing; James steps up in Education.</w:t>
      </w:r>
    </w:p>
    <w:p>
      <w:pPr>
        <w:pStyle w:val="ListParagraph"/>
        <w:numPr>
          <w:ilvl w:val="0"/>
          <w:numId w:val="3"/>
        </w:numPr>
        <w:spacing w:after="60"/>
      </w:pPr>
      <w:r>
        <w:rPr>
          <w:b/>
          <w:bCs/>
        </w:rPr>
        <w:t xml:space="preserve">15 July 2025</w:t>
      </w:r>
      <w:r>
        <w:t xml:space="preserve"> — Rohan Kalanje steps down as Team Lead; the mascot is named Mepo (Article 3.3), marking the handover to the second generation.</w:t>
      </w:r>
    </w:p>
    <w:p>
      <w:pPr>
        <w:pStyle w:val="ListParagraph"/>
        <w:numPr>
          <w:ilvl w:val="0"/>
          <w:numId w:val="3"/>
        </w:numPr>
        <w:spacing w:after="60"/>
      </w:pPr>
      <w:r>
        <w:rPr>
          <w:b/>
          <w:bCs/>
        </w:rPr>
        <w:t xml:space="preserve">2025</w:t>
      </w:r>
      <w:r>
        <w:t xml:space="preserve"> — The team grows to ~70 members across two recruitment rounds; department restructure with portfolio leads; Tech Futures Industry Nights; AWE Auggie Awards and SXSW XR Showcase entries (MBEST Digital Museum); Bali AVP with EmVis and the Indonesian government; second End of Year Report.</w:t>
      </w:r>
    </w:p>
    <w:p>
      <w:pPr>
        <w:pStyle w:val="ListParagraph"/>
        <w:numPr>
          <w:ilvl w:val="0"/>
          <w:numId w:val="3"/>
        </w:numPr>
        <w:spacing w:after="60"/>
      </w:pPr>
      <w:r>
        <w:rPr>
          <w:b/>
          <w:bCs/>
        </w:rPr>
        <w:t xml:space="preserve">2026</w:t>
      </w:r>
      <w:r>
        <w:t xml:space="preserve"> — Leads Nicole Ellis and Eunice Yap; constitution drafting begins; Platypus Forest demos at O-Week; website redesign (web-nexus).</w:t>
      </w:r>
    </w:p>
    <w:p>
      <w:pPr>
        <w:pStyle w:val="Heading1"/>
        <w:spacing w:after="160" w:before="360"/>
      </w:pPr>
      <w:r>
        <w:rPr>
          <w:b/>
          <w:bCs/>
        </w:rPr>
        <w:t xml:space="preserve">Article 12 — Amendments and Review</w:t>
      </w:r>
    </w:p>
    <w:p>
      <w:pPr>
        <w:pStyle w:val="ListParagraph"/>
        <w:numPr>
          <w:ilvl w:val="0"/>
          <w:numId w:val="10"/>
        </w:numPr>
        <w:spacing w:after="80"/>
      </w:pPr>
      <w:r>
        <w:t xml:space="preserve">This constitution is reviewed at least once per year by the Leadership Team.</w:t>
      </w:r>
    </w:p>
    <w:p>
      <w:pPr>
        <w:pStyle w:val="ListParagraph"/>
        <w:numPr>
          <w:ilvl w:val="0"/>
          <w:numId w:val="10"/>
        </w:numPr>
        <w:spacing w:after="80"/>
      </w:pPr>
      <w:r>
        <w:t xml:space="preserve">Amendments are proposed in writing and adopted by decision of the Leadership Team.</w:t>
      </w:r>
    </w:p>
    <w:p>
      <w:pPr>
        <w:pStyle w:val="ListParagraph"/>
        <w:numPr>
          <w:ilvl w:val="0"/>
          <w:numId w:val="10"/>
        </w:numPr>
        <w:spacing w:after="80"/>
      </w:pPr>
      <w:r>
        <w:t xml:space="preserve">Nothing in this constitution overrides the Monash Student Teams Procedure or University policy (Article 8).</w:t>
      </w:r>
    </w:p>
    <w:p>
      <w:pPr>
        <w:pStyle w:val="ListParagraph"/>
        <w:numPr>
          <w:ilvl w:val="0"/>
          <w:numId w:val="10"/>
        </w:numPr>
        <w:spacing w:after="80"/>
      </w:pPr>
      <w:r>
        <w:t xml:space="preserve">Until ratified, this document is a working draft and does not bind the team.</w:t>
      </w:r>
    </w:p>
    <w:p>
      <w:pPr>
        <w:pBdr>
          <w:left w:val="single" w:color="888888" w:sz="18" w:space="8"/>
        </w:pBdr>
        <w:spacing w:after="160" w:before="120"/>
        <w:ind w:left="576"/>
      </w:pPr>
      <w:r>
        <w:rPr>
          <w:b/>
          <w:bCs/>
          <w:i/>
          <w:iCs/>
        </w:rPr>
        <w:t xml:space="preserve">OPEN QUESTION: </w:t>
      </w:r>
      <w:r>
        <w:rPr>
          <w:i/>
          <w:iCs/>
        </w:rPr>
        <w:t xml:space="preserve">Set the ratification mechanism (e.g. leadership vote, member vote, advisor endorsement) and amendment threshold.</w:t>
      </w:r>
    </w:p>
    <w:p>
      <w:pPr>
        <w:pStyle w:val="Heading1"/>
        <w:spacing w:after="160" w:before="360"/>
      </w:pPr>
      <w:r>
        <w:rPr>
          <w:b/>
          <w:bCs/>
        </w:rPr>
        <w:t xml:space="preserve">Revision History</w:t>
      </w:r>
    </w:p>
    <w:p>
      <w:pPr>
        <w:pStyle w:val="ListParagraph"/>
        <w:numPr>
          <w:ilvl w:val="0"/>
          <w:numId w:val="3"/>
        </w:numPr>
        <w:spacing w:after="60"/>
      </w:pPr>
      <w:r>
        <w:t xml:space="preserve">v0.1 — 9 July 2026 — Initial draft generated from the MNET Notion workspace, website content, and team planning boards.</w:t>
      </w:r>
    </w:p>
    <w:p>
      <w:pPr>
        <w:pStyle w:val="ListParagraph"/>
        <w:numPr>
          <w:ilvl w:val="0"/>
          <w:numId w:val="3"/>
        </w:numPr>
        <w:spacing w:after="60"/>
      </w:pPr>
      <w:r>
        <w:t xml:space="preserve">v0.2 — 10 July 2026 — Added Article 6 (Meetings and Communication: MNET Schedule calendar, meeting types, external forums); resolved the mascot origin (Mepo, named 15 July 2025); added Article 8 (Governance within the University: MSTI, Student Teams Procedure Ver 2, EOY reporting, funding); expanded Article 9 (HCC/EmVis, GIM, VARS, student team and industry partners); added Article 11 (History). Sources: MNET Notion workspace, MNET &amp; Student Teams shared drives, Monash Student Teams Procedure Ver 2, and the 2024/2025 End of Year Reports to MSTI.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224"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30"/>
      <w:szCs w:val="30"/>
    </w:rPr>
  </w:style>
  <w:style w:type="paragraph" w:styleId="Heading2">
    <w:name w:val="Heading 2"/>
    <w:basedOn w:val="Normal"/>
    <w:next w:val="Normal"/>
    <w:qFormat/>
    <w:rPr>
      <w:rFonts w:ascii="Arial" w:cs="Arial" w:eastAsia="Arial" w:hAnsi="Arial"/>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2026-07-10T10:03:02.838Z</dcterms:created>
  <dcterms:modified xsi:type="dcterms:W3CDTF">2026-07-10T10:03:02.839Z</dcterms:modified>
</cp:coreProperties>
</file>

<file path=docProps/custom.xml><?xml version="1.0" encoding="utf-8"?>
<Properties xmlns="http://schemas.openxmlformats.org/officeDocument/2006/custom-properties" xmlns:vt="http://schemas.openxmlformats.org/officeDocument/2006/docPropsVTypes"/>
</file>