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b4902c5c2019fb6d2eb233ad1b03c3dbffd4efa"/>
    <w:p>
      <w:pPr>
        <w:pStyle w:val="Heading1"/>
      </w:pPr>
      <w:r>
        <w:rPr>
          <w:rFonts w:ascii="Arial" w:hAnsi="Arial" w:eastAsia="Arial" w:cs="Arial"/>
        </w:rPr>
        <w:t xml:space="preserve">Модель PD покупателя: результаты обучения (версия 1.0)</w:t>
      </w:r>
    </w:p>
    <w:p>
      <w:pPr>
        <w:pStyle w:val="FirstParagraph"/>
        <w:spacing w:after="120" w:line="264" w:lineRule="auto"/>
      </w:pPr>
      <w:r>
        <w:rPr>
          <w:rFonts w:ascii="Arial" w:hAnsi="Arial" w:eastAsia="Arial" w:cs="Arial"/>
        </w:rPr>
        <w:t xml:space="preserve">27.10.2026 · Руслан · Смарт-факторинг</w:t>
      </w:r>
    </w:p>
    <w:p>
      <w:pPr>
        <w:pStyle w:val="BodyText"/>
        <w:spacing w:after="120" w:line="264" w:lineRule="auto"/>
      </w:pPr>
      <w:r>
        <w:rPr>
          <w:bCs/>
          <w:rFonts w:ascii="Arial" w:hAnsi="Arial" w:eastAsia="Arial" w:cs="Arial"/>
          <w:b/>
        </w:rPr>
        <w:t xml:space="preserve">Итог.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Модель обучена на когорте 2022 и проверена на когорте 2023, которая в настройке не участвовала. Gini на проверке 0,76 (доверительный интервал 0,75–0,77) при требовании не ниже 0,5 и цели 0,6; на сегменте выручки от 800 млн ₽ 0,84. Уровни риска A–D по доле дефолтов растут монотонно, стабильность по PSI с большим запасом. Одно замечание по калибровке: на 2023 году фактическая доля дефолтов в средних децилях выше прогноза в 1,3–1,6 раза, а в верхнем ниже на 19% (подробности в разделе 3). Утечки по датам не найдено, но не проверяемо одно: дата подачи отчётности в витрине не хранится (раздел 5).</w:t>
      </w:r>
    </w:p>
    <w:bookmarkStart w:id="20" w:name="X5153dbfc02daa1c15cc66beee919df76e1401c9"/>
    <w:p>
      <w:pPr>
        <w:pStyle w:val="Heading2"/>
      </w:pPr>
      <w:r>
        <w:rPr>
          <w:rFonts w:ascii="Arial" w:hAnsi="Arial" w:eastAsia="Arial" w:cs="Arial"/>
        </w:rPr>
        <w:t xml:space="preserve">1. Приёмка по ТЗ (когорта 2023, метка Б, окно 12 месяцев)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W w:type="dxa" w:w="9637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434"/>
        <w:gridCol w:w="3137"/>
        <w:gridCol w:w="3406"/>
        <w:gridCol w:w="1658"/>
      </w:tblGrid>
      <w:tr>
        <w:trPr>
          <w:tblHeader w:val="true"/>
          <w:cantSplit/>
        </w:trPr>
        <w:tc>
          <w:tcPr>
            <w:tcW w:type="dxa" w:w="1434"/>
            <w:shd w:val="clear" w:color="auto" w:fill="EDEDED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b/>
                <w:sz w:val="18"/>
              </w:rPr>
              <w:t xml:space="preserve">Критерий</w:t>
            </w:r>
          </w:p>
        </w:tc>
        <w:tc>
          <w:tcPr>
            <w:tcW w:type="dxa" w:w="3138"/>
            <w:shd w:val="clear" w:color="auto" w:fill="EDEDED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b/>
                <w:sz w:val="18"/>
              </w:rPr>
              <w:t xml:space="preserve">Требование</w:t>
            </w:r>
          </w:p>
        </w:tc>
        <w:tc>
          <w:tcPr>
            <w:tcW w:type="dxa" w:w="3407"/>
            <w:shd w:val="clear" w:color="auto" w:fill="EDEDED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b/>
                <w:sz w:val="18"/>
              </w:rPr>
              <w:t xml:space="preserve">Результат</w:t>
            </w:r>
          </w:p>
        </w:tc>
        <w:tc>
          <w:tcPr>
            <w:tcW w:type="dxa" w:w="1659"/>
            <w:shd w:val="clear" w:color="auto" w:fill="EDEDED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b/>
                <w:sz w:val="18"/>
              </w:rPr>
              <w:t xml:space="preserve">Вывод</w:t>
            </w:r>
          </w:p>
        </w:tc>
      </w:tr>
      <w:tr>
        <w:trPr>
          <w:cantSplit/>
        </w:trPr>
        <w:tc>
          <w:tcPr>
            <w:tcW w:type="dxa" w:w="1434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Gini</w:t>
            </w:r>
          </w:p>
        </w:tc>
        <w:tc>
          <w:tcPr>
            <w:tcW w:type="dxa" w:w="3138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не ниже 0,5, цель 0,6, с доверительным интервалом</w:t>
            </w:r>
          </w:p>
        </w:tc>
        <w:tc>
          <w:tcPr>
            <w:tcW w:type="dxa" w:w="3407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0,761 (0,747–0,774)</w:t>
            </w:r>
          </w:p>
        </w:tc>
        <w:tc>
          <w:tcPr>
            <w:tcW w:type="dxa" w:w="1659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выполнено</w:t>
            </w:r>
          </w:p>
        </w:tc>
      </w:tr>
      <w:tr>
        <w:trPr>
          <w:cantSplit/>
        </w:trPr>
        <w:tc>
          <w:tcPr>
            <w:tcW w:type="dxa" w:w="1434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Gini, выручка от 800 млн ₽</w:t>
            </w:r>
          </w:p>
        </w:tc>
        <w:tc>
          <w:tcPr>
            <w:tcW w:type="dxa" w:w="3138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то же, отдельно</w:t>
            </w:r>
          </w:p>
        </w:tc>
        <w:tc>
          <w:tcPr>
            <w:tcW w:type="dxa" w:w="3407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0,836 (0,814–0,856); 39 924 компаний, 536 дефолтов</w:t>
            </w:r>
          </w:p>
        </w:tc>
        <w:tc>
          <w:tcPr>
            <w:tcW w:type="dxa" w:w="1659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выполнено</w:t>
            </w:r>
          </w:p>
        </w:tc>
      </w:tr>
      <w:tr>
        <w:trPr>
          <w:cantSplit/>
        </w:trPr>
        <w:tc>
          <w:tcPr>
            <w:tcW w:type="dxa" w:w="1434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Gini, окно 21 месяц</w:t>
            </w:r>
          </w:p>
        </w:tc>
        <w:tc>
          <w:tcPr>
            <w:tcW w:type="dxa" w:w="3138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те же метрики отдельно</w:t>
            </w:r>
          </w:p>
        </w:tc>
        <w:tc>
          <w:tcPr>
            <w:tcW w:type="dxa" w:w="3407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0,725 (0,715–0,734); сегмент от 800 млн ₽ 0,808</w:t>
            </w:r>
          </w:p>
        </w:tc>
        <w:tc>
          <w:tcPr>
            <w:tcW w:type="dxa" w:w="1659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выполнено</w:t>
            </w:r>
          </w:p>
        </w:tc>
      </w:tr>
      <w:tr>
        <w:trPr>
          <w:cantSplit/>
        </w:trPr>
        <w:tc>
          <w:tcPr>
            <w:tcW w:type="dxa" w:w="1434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Калибровка по децилям</w:t>
            </w:r>
          </w:p>
        </w:tc>
        <w:tc>
          <w:tcPr>
            <w:tcW w:type="dxa" w:w="3138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средний PD близок к фактической доле дефолтов</w:t>
            </w:r>
          </w:p>
        </w:tc>
        <w:tc>
          <w:tcPr>
            <w:tcW w:type="dxa" w:w="3407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средний PD 1,36% против факта 1,24%; наибольший разрыв по децилям 1,9 п.п. (верхний дециль)</w:t>
            </w:r>
          </w:p>
        </w:tc>
        <w:tc>
          <w:tcPr>
            <w:tcW w:type="dxa" w:w="1659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выполнено с оговоркой, раздел 3</w:t>
            </w:r>
          </w:p>
        </w:tc>
      </w:tr>
      <w:tr>
        <w:trPr>
          <w:cantSplit/>
        </w:trPr>
        <w:tc>
          <w:tcPr>
            <w:tcW w:type="dxa" w:w="1434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PSI</w:t>
            </w:r>
          </w:p>
        </w:tc>
        <w:tc>
          <w:tcPr>
            <w:tcW w:type="dxa" w:w="3138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меньше 0,25</w:t>
            </w:r>
          </w:p>
        </w:tc>
        <w:tc>
          <w:tcPr>
            <w:tcW w:type="dxa" w:w="3407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скор 0,006; наибольший у признака 0,014</w:t>
            </w:r>
          </w:p>
        </w:tc>
        <w:tc>
          <w:tcPr>
            <w:tcW w:type="dxa" w:w="1659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выполнено</w:t>
            </w:r>
          </w:p>
        </w:tc>
      </w:tr>
      <w:tr>
        <w:trPr>
          <w:cantSplit/>
        </w:trPr>
        <w:tc>
          <w:tcPr>
            <w:tcW w:type="dxa" w:w="1434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Монотонность A–D</w:t>
            </w:r>
          </w:p>
        </w:tc>
        <w:tc>
          <w:tcPr>
            <w:tcW w:type="dxa" w:w="3138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доля дефолтов растёт от A к D</w:t>
            </w:r>
          </w:p>
        </w:tc>
        <w:tc>
          <w:tcPr>
            <w:tcW w:type="dxa" w:w="3407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0,2% / 1,0% / 2,6% / 14,4%</w:t>
            </w:r>
          </w:p>
        </w:tc>
        <w:tc>
          <w:tcPr>
            <w:tcW w:type="dxa" w:w="1659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выполнено</w:t>
            </w:r>
          </w:p>
        </w:tc>
      </w:tr>
      <w:tr>
        <w:trPr>
          <w:cantSplit/>
        </w:trPr>
        <w:tc>
          <w:tcPr>
            <w:tcW w:type="dxa" w:w="1434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Утечка</w:t>
            </w:r>
          </w:p>
        </w:tc>
        <w:tc>
          <w:tcPr>
            <w:tcW w:type="dxa" w:w="3138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данных после даты среза нет; Gini выше 0,9 — повод перепроверить</w:t>
            </w:r>
          </w:p>
        </w:tc>
        <w:tc>
          <w:tcPr>
            <w:tcW w:type="dxa" w:w="3407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Gini 0,76, максимум по одному признаку 0,52; даты подачи отчётности не проверяемы</w:t>
            </w:r>
          </w:p>
        </w:tc>
        <w:tc>
          <w:tcPr>
            <w:tcW w:type="dxa" w:w="1659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выполнено с оговоркой, раздел 5</w:t>
            </w:r>
          </w:p>
        </w:tc>
      </w:tr>
    </w:tbl>
    <w:bookmarkEnd w:id="20"/>
    <w:bookmarkStart w:id="21" w:name="что-обучали"/>
    <w:p>
      <w:pPr>
        <w:pStyle w:val="Heading2"/>
      </w:pPr>
      <w:r>
        <w:rPr>
          <w:rFonts w:ascii="Arial" w:hAnsi="Arial" w:eastAsia="Arial" w:cs="Arial"/>
        </w:rPr>
        <w:t xml:space="preserve">2. Что обучали</w:t>
      </w:r>
    </w:p>
    <w:p>
      <w:pPr>
        <w:pStyle w:val="FirstParagraph"/>
        <w:spacing w:after="120" w:line="264" w:lineRule="auto"/>
      </w:pPr>
      <w:r>
        <w:rPr>
          <w:rFonts w:ascii="Arial" w:hAnsi="Arial" w:eastAsia="Arial" w:cs="Arial"/>
        </w:rPr>
        <w:t xml:space="preserve">Выборка: когорта 2022 (отчётность за 2022 год, срез 01.04.2023), 174 351 строк с определённой меткой, из них 2 182 дефолтов (1,25%). Проверка: когорта 2023, 203 674 строк, 2 523 дефолтов (1,24%). Гейт 0 пройден: витрина воспроизводит списки ИНН один в один (182 584 и 210 511, расхождений нет). Фильтры из ТЗ: отчётность сдана, не выброс, без ОКВЭД K и O, выручка от 120 млн ₽.</w:t>
      </w:r>
    </w:p>
    <w:p>
      <w:pPr>
        <w:pStyle w:val="BodyText"/>
        <w:spacing w:after="120" w:line="264" w:lineRule="auto"/>
      </w:pPr>
      <w:r>
        <w:rPr>
          <w:rFonts w:ascii="Arial" w:hAnsi="Arial" w:eastAsia="Arial" w:cs="Arial"/>
        </w:rPr>
        <w:t xml:space="preserve">Признаки: 28 штук по разделу 6 ТЗ (13 коэффициентов, динамика за один и два года, флаги риска, масштаб, раздел ОКВЭД и регион), поля витрины с датами и событиями после среза в выборку не попали. Модель: LightGBM с весом дефолтного класса 5 и параметрами, выбранными кросс-валидацией по 2022 (5 частей, 14 вариантов). Калибровка Platt по предсказаниям вне обучающих частей; изотоническая дала почти такой же логлосс, но ступенчатый PD. Уровни A–D заданы по 2022: A &lt; 0,4%, B 0,4–1,5%, C 1,5–6%, D ≥ 6%.</w:t>
      </w:r>
    </w:p>
    <w:bookmarkEnd w:id="21"/>
    <w:bookmarkStart w:id="28" w:name="результаты-на-проверке-2023"/>
    <w:p>
      <w:pPr>
        <w:pStyle w:val="Heading2"/>
      </w:pPr>
      <w:r>
        <w:rPr>
          <w:rFonts w:ascii="Arial" w:hAnsi="Arial" w:eastAsia="Arial" w:cs="Arial"/>
        </w:rPr>
        <w:t xml:space="preserve">3. Результаты на проверке 2023</w:t>
      </w:r>
    </w:p>
    <w:p>
      <w:pPr>
        <w:pStyle w:val="FirstParagraph"/>
        <w:spacing w:after="120" w:line="264" w:lineRule="auto"/>
      </w:pPr>
      <w:r>
        <w:rPr>
          <w:rFonts w:ascii="Arial" w:hAnsi="Arial" w:eastAsia="Arial" w:cs="Arial"/>
        </w:rPr>
        <w:drawing>
          <wp:inline>
            <wp:extent cx="5334000" cy="223058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out/pd_plot_calibration_level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0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120" w:line="264" w:lineRule="auto"/>
      </w:pPr>
      <w:r>
        <w:rPr>
          <w:rFonts w:ascii="Arial" w:hAnsi="Arial" w:eastAsia="Arial" w:cs="Arial"/>
        </w:rPr>
        <w:drawing>
          <wp:inline>
            <wp:extent cx="4319999" cy="223623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out/pd_plot_shap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236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/>
        <w:spacing w:after="120" w:line="264" w:lineRule="auto"/>
      </w:pPr>
      <w:r>
        <w:rPr>
          <w:rFonts w:ascii="Arial" w:hAnsi="Arial" w:eastAsia="Arial" w:cs="Arial"/>
        </w:rPr>
        <w:t xml:space="preserve">Доли дефолтов по уровням риска: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W w:type="dxa" w:w="9637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32"/>
        <w:gridCol w:w="1948"/>
        <w:gridCol w:w="2460"/>
        <w:gridCol w:w="1948"/>
        <w:gridCol w:w="1948"/>
      </w:tblGrid>
      <w:tr>
        <w:trPr>
          <w:tblHeader w:val="true"/>
          <w:cantSplit/>
        </w:trPr>
        <w:tc>
          <w:tcPr>
            <w:tcW w:type="dxa" w:w="1333"/>
            <w:shd w:val="clear" w:color="auto" w:fill="EDEDED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b/>
                <w:sz w:val="18"/>
              </w:rPr>
              <w:t xml:space="preserve">Уровень</w:t>
            </w:r>
          </w:p>
        </w:tc>
        <w:tc>
          <w:tcPr>
            <w:tcW w:type="dxa" w:w="1948"/>
            <w:shd w:val="clear" w:color="auto" w:fill="EDEDED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b/>
                <w:sz w:val="18"/>
              </w:rPr>
              <w:t xml:space="preserve">Доля компаний</w:t>
            </w:r>
          </w:p>
        </w:tc>
        <w:tc>
          <w:tcPr>
            <w:tcW w:type="dxa" w:w="2461"/>
            <w:shd w:val="clear" w:color="auto" w:fill="EDEDED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b/>
                <w:sz w:val="18"/>
              </w:rPr>
              <w:t xml:space="preserve">2022, вне обучения</w:t>
            </w:r>
          </w:p>
        </w:tc>
        <w:tc>
          <w:tcPr>
            <w:tcW w:type="dxa" w:w="1948"/>
            <w:shd w:val="clear" w:color="auto" w:fill="EDEDED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b/>
                <w:sz w:val="18"/>
              </w:rPr>
              <w:t xml:space="preserve">2023, 12 мес.</w:t>
            </w:r>
          </w:p>
        </w:tc>
        <w:tc>
          <w:tcPr>
            <w:tcW w:type="dxa" w:w="1948"/>
            <w:shd w:val="clear" w:color="auto" w:fill="EDEDED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b/>
                <w:sz w:val="18"/>
              </w:rPr>
              <w:t xml:space="preserve">2023, 21 мес.</w:t>
            </w:r>
          </w:p>
        </w:tc>
      </w:tr>
      <w:tr>
        <w:trPr>
          <w:cantSplit/>
        </w:trPr>
        <w:tc>
          <w:tcPr>
            <w:tcW w:type="dxa" w:w="1333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A</w:t>
            </w:r>
          </w:p>
        </w:tc>
        <w:tc>
          <w:tcPr>
            <w:tcW w:type="dxa" w:w="1948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63%</w:t>
            </w:r>
          </w:p>
        </w:tc>
        <w:tc>
          <w:tcPr>
            <w:tcW w:type="dxa" w:w="2461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0,13%</w:t>
            </w:r>
          </w:p>
        </w:tc>
        <w:tc>
          <w:tcPr>
            <w:tcW w:type="dxa" w:w="1948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0,20%</w:t>
            </w:r>
          </w:p>
        </w:tc>
        <w:tc>
          <w:tcPr>
            <w:tcW w:type="dxa" w:w="1948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0,56%</w:t>
            </w:r>
          </w:p>
        </w:tc>
      </w:tr>
      <w:tr>
        <w:trPr>
          <w:cantSplit/>
        </w:trPr>
        <w:tc>
          <w:tcPr>
            <w:tcW w:type="dxa" w:w="1333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B</w:t>
            </w:r>
          </w:p>
        </w:tc>
        <w:tc>
          <w:tcPr>
            <w:tcW w:type="dxa" w:w="1948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23%</w:t>
            </w:r>
          </w:p>
        </w:tc>
        <w:tc>
          <w:tcPr>
            <w:tcW w:type="dxa" w:w="2461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0,81%</w:t>
            </w:r>
          </w:p>
        </w:tc>
        <w:tc>
          <w:tcPr>
            <w:tcW w:type="dxa" w:w="1948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0,96%</w:t>
            </w:r>
          </w:p>
        </w:tc>
        <w:tc>
          <w:tcPr>
            <w:tcW w:type="dxa" w:w="1948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2,58%</w:t>
            </w:r>
          </w:p>
        </w:tc>
      </w:tr>
      <w:tr>
        <w:trPr>
          <w:cantSplit/>
        </w:trPr>
        <w:tc>
          <w:tcPr>
            <w:tcW w:type="dxa" w:w="1333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C</w:t>
            </w:r>
          </w:p>
        </w:tc>
        <w:tc>
          <w:tcPr>
            <w:tcW w:type="dxa" w:w="1948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9%</w:t>
            </w:r>
          </w:p>
        </w:tc>
        <w:tc>
          <w:tcPr>
            <w:tcW w:type="dxa" w:w="2461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2,98%</w:t>
            </w:r>
          </w:p>
        </w:tc>
        <w:tc>
          <w:tcPr>
            <w:tcW w:type="dxa" w:w="1948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2,58%</w:t>
            </w:r>
          </w:p>
        </w:tc>
        <w:tc>
          <w:tcPr>
            <w:tcW w:type="dxa" w:w="1948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6,66%</w:t>
            </w:r>
          </w:p>
        </w:tc>
      </w:tr>
      <w:tr>
        <w:trPr>
          <w:cantSplit/>
        </w:trPr>
        <w:tc>
          <w:tcPr>
            <w:tcW w:type="dxa" w:w="1333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D</w:t>
            </w:r>
          </w:p>
        </w:tc>
        <w:tc>
          <w:tcPr>
            <w:tcW w:type="dxa" w:w="1948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5%</w:t>
            </w:r>
          </w:p>
        </w:tc>
        <w:tc>
          <w:tcPr>
            <w:tcW w:type="dxa" w:w="2461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15,84%</w:t>
            </w:r>
          </w:p>
        </w:tc>
        <w:tc>
          <w:tcPr>
            <w:tcW w:type="dxa" w:w="1948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14,38%</w:t>
            </w:r>
          </w:p>
        </w:tc>
        <w:tc>
          <w:tcPr>
            <w:tcW w:type="dxa" w:w="1948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25,98%</w:t>
            </w:r>
          </w:p>
        </w:tc>
      </w:tr>
    </w:tbl>
    <w:p>
      <w:pPr>
        <w:pStyle w:val="BodyText"/>
        <w:spacing w:after="120" w:line="264" w:lineRule="auto"/>
      </w:pPr>
      <w:r>
        <w:rPr>
          <w:bCs/>
          <w:rFonts w:ascii="Arial" w:hAnsi="Arial" w:eastAsia="Arial" w:cs="Arial"/>
          <w:b/>
        </w:rPr>
        <w:t xml:space="preserve">Калибровка.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Ранжирование на 2023 году стабильно, но уровень PD сдвигается: в децилях 5–8 фактическая доля дефолтов выше прогноза в 1,3–1,6 раза, в верхнем дециле прогноз 10,2% против факта 8,2%. Общий средний PD 1,36% против 1,24%. На окне 21 месяц фактическая доля естественно выше (в среднем 2,7%), модель калибрована на 12 месяцев. Калибровку и границы уровней на 2023 не подгоняли, потому что это нарушило бы правило проверки.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W w:type="dxa" w:w="9637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182"/>
        <w:gridCol w:w="2909"/>
        <w:gridCol w:w="2000"/>
        <w:gridCol w:w="2545"/>
      </w:tblGrid>
      <w:tr>
        <w:trPr>
          <w:tblHeader w:val="true"/>
          <w:cantSplit/>
        </w:trPr>
        <w:tc>
          <w:tcPr>
            <w:tcW w:type="dxa" w:w="2182"/>
            <w:shd w:val="clear" w:color="auto" w:fill="EDEDED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b/>
                <w:sz w:val="18"/>
              </w:rPr>
              <w:t xml:space="preserve">Дециль</w:t>
            </w:r>
          </w:p>
        </w:tc>
        <w:tc>
          <w:tcPr>
            <w:tcW w:type="dxa" w:w="2910"/>
            <w:shd w:val="clear" w:color="auto" w:fill="EDEDED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b/>
                <w:sz w:val="18"/>
              </w:rPr>
              <w:t xml:space="preserve">Средний PD</w:t>
            </w:r>
          </w:p>
        </w:tc>
        <w:tc>
          <w:tcPr>
            <w:tcW w:type="dxa" w:w="2000"/>
            <w:shd w:val="clear" w:color="auto" w:fill="EDEDED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b/>
                <w:sz w:val="18"/>
              </w:rPr>
              <w:t xml:space="preserve">Факт</w:t>
            </w:r>
          </w:p>
        </w:tc>
        <w:tc>
          <w:tcPr>
            <w:tcW w:type="dxa" w:w="2546"/>
            <w:shd w:val="clear" w:color="auto" w:fill="EDEDED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b/>
                <w:sz w:val="18"/>
              </w:rPr>
              <w:t xml:space="preserve">Дефолтов</w:t>
            </w:r>
          </w:p>
        </w:tc>
      </w:tr>
      <w:tr>
        <w:trPr>
          <w:cantSplit/>
        </w:trPr>
        <w:tc>
          <w:tcPr>
            <w:tcW w:type="dxa" w:w="2182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1</w:t>
            </w:r>
          </w:p>
        </w:tc>
        <w:tc>
          <w:tcPr>
            <w:tcW w:type="dxa" w:w="2910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0,05%</w:t>
            </w:r>
          </w:p>
        </w:tc>
        <w:tc>
          <w:tcPr>
            <w:tcW w:type="dxa" w:w="2000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0,03%</w:t>
            </w:r>
          </w:p>
        </w:tc>
        <w:tc>
          <w:tcPr>
            <w:tcW w:type="dxa" w:w="2546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182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2</w:t>
            </w:r>
          </w:p>
        </w:tc>
        <w:tc>
          <w:tcPr>
            <w:tcW w:type="dxa" w:w="2910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0,06%</w:t>
            </w:r>
          </w:p>
        </w:tc>
        <w:tc>
          <w:tcPr>
            <w:tcW w:type="dxa" w:w="2000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0,07%</w:t>
            </w:r>
          </w:p>
        </w:tc>
        <w:tc>
          <w:tcPr>
            <w:tcW w:type="dxa" w:w="2546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2182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3</w:t>
            </w:r>
          </w:p>
        </w:tc>
        <w:tc>
          <w:tcPr>
            <w:tcW w:type="dxa" w:w="2910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0,10%</w:t>
            </w:r>
          </w:p>
        </w:tc>
        <w:tc>
          <w:tcPr>
            <w:tcW w:type="dxa" w:w="2000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0,11%</w:t>
            </w:r>
          </w:p>
        </w:tc>
        <w:tc>
          <w:tcPr>
            <w:tcW w:type="dxa" w:w="2546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2182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4</w:t>
            </w:r>
          </w:p>
        </w:tc>
        <w:tc>
          <w:tcPr>
            <w:tcW w:type="dxa" w:w="2910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0,14%</w:t>
            </w:r>
          </w:p>
        </w:tc>
        <w:tc>
          <w:tcPr>
            <w:tcW w:type="dxa" w:w="2000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0,18%</w:t>
            </w:r>
          </w:p>
        </w:tc>
        <w:tc>
          <w:tcPr>
            <w:tcW w:type="dxa" w:w="2546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36</w:t>
            </w:r>
          </w:p>
        </w:tc>
      </w:tr>
      <w:tr>
        <w:trPr>
          <w:cantSplit/>
        </w:trPr>
        <w:tc>
          <w:tcPr>
            <w:tcW w:type="dxa" w:w="2182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5</w:t>
            </w:r>
          </w:p>
        </w:tc>
        <w:tc>
          <w:tcPr>
            <w:tcW w:type="dxa" w:w="2910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0,20%</w:t>
            </w:r>
          </w:p>
        </w:tc>
        <w:tc>
          <w:tcPr>
            <w:tcW w:type="dxa" w:w="2000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0,29%</w:t>
            </w:r>
          </w:p>
        </w:tc>
        <w:tc>
          <w:tcPr>
            <w:tcW w:type="dxa" w:w="2546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60</w:t>
            </w:r>
          </w:p>
        </w:tc>
      </w:tr>
      <w:tr>
        <w:trPr>
          <w:cantSplit/>
        </w:trPr>
        <w:tc>
          <w:tcPr>
            <w:tcW w:type="dxa" w:w="2182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6</w:t>
            </w:r>
          </w:p>
        </w:tc>
        <w:tc>
          <w:tcPr>
            <w:tcW w:type="dxa" w:w="2910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0,29%</w:t>
            </w:r>
          </w:p>
        </w:tc>
        <w:tc>
          <w:tcPr>
            <w:tcW w:type="dxa" w:w="2000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0,46%</w:t>
            </w:r>
          </w:p>
        </w:tc>
        <w:tc>
          <w:tcPr>
            <w:tcW w:type="dxa" w:w="2546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94</w:t>
            </w:r>
          </w:p>
        </w:tc>
      </w:tr>
      <w:tr>
        <w:trPr>
          <w:cantSplit/>
        </w:trPr>
        <w:tc>
          <w:tcPr>
            <w:tcW w:type="dxa" w:w="2182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7</w:t>
            </w:r>
          </w:p>
        </w:tc>
        <w:tc>
          <w:tcPr>
            <w:tcW w:type="dxa" w:w="2910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0,43%</w:t>
            </w:r>
          </w:p>
        </w:tc>
        <w:tc>
          <w:tcPr>
            <w:tcW w:type="dxa" w:w="2000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0,62%</w:t>
            </w:r>
          </w:p>
        </w:tc>
        <w:tc>
          <w:tcPr>
            <w:tcW w:type="dxa" w:w="2546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127</w:t>
            </w:r>
          </w:p>
        </w:tc>
      </w:tr>
      <w:tr>
        <w:trPr>
          <w:cantSplit/>
        </w:trPr>
        <w:tc>
          <w:tcPr>
            <w:tcW w:type="dxa" w:w="2182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8</w:t>
            </w:r>
          </w:p>
        </w:tc>
        <w:tc>
          <w:tcPr>
            <w:tcW w:type="dxa" w:w="2910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0,70%</w:t>
            </w:r>
          </w:p>
        </w:tc>
        <w:tc>
          <w:tcPr>
            <w:tcW w:type="dxa" w:w="2000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0,92%</w:t>
            </w:r>
          </w:p>
        </w:tc>
        <w:tc>
          <w:tcPr>
            <w:tcW w:type="dxa" w:w="2546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187</w:t>
            </w:r>
          </w:p>
        </w:tc>
      </w:tr>
      <w:tr>
        <w:trPr>
          <w:cantSplit/>
        </w:trPr>
        <w:tc>
          <w:tcPr>
            <w:tcW w:type="dxa" w:w="2182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9</w:t>
            </w:r>
          </w:p>
        </w:tc>
        <w:tc>
          <w:tcPr>
            <w:tcW w:type="dxa" w:w="2910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1,42%</w:t>
            </w:r>
          </w:p>
        </w:tc>
        <w:tc>
          <w:tcPr>
            <w:tcW w:type="dxa" w:w="2000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1,49%</w:t>
            </w:r>
          </w:p>
        </w:tc>
        <w:tc>
          <w:tcPr>
            <w:tcW w:type="dxa" w:w="2546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304</w:t>
            </w:r>
          </w:p>
        </w:tc>
      </w:tr>
      <w:tr>
        <w:trPr>
          <w:cantSplit/>
        </w:trPr>
        <w:tc>
          <w:tcPr>
            <w:tcW w:type="dxa" w:w="2182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10</w:t>
            </w:r>
          </w:p>
        </w:tc>
        <w:tc>
          <w:tcPr>
            <w:tcW w:type="dxa" w:w="2910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10,15%</w:t>
            </w:r>
          </w:p>
        </w:tc>
        <w:tc>
          <w:tcPr>
            <w:tcW w:type="dxa" w:w="2000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8,21%</w:t>
            </w:r>
          </w:p>
        </w:tc>
        <w:tc>
          <w:tcPr>
            <w:tcW w:type="dxa" w:w="2546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1 672</w:t>
            </w:r>
          </w:p>
        </w:tc>
      </w:tr>
    </w:tbl>
    <w:bookmarkEnd w:id="28"/>
    <w:bookmarkStart w:id="29" w:name="сравнение-моделей-и-вариантов-метки"/>
    <w:p>
      <w:pPr>
        <w:pStyle w:val="Heading2"/>
      </w:pPr>
      <w:r>
        <w:rPr>
          <w:rFonts w:ascii="Arial" w:hAnsi="Arial" w:eastAsia="Arial" w:cs="Arial"/>
        </w:rPr>
        <w:t xml:space="preserve">4. Сравнение моделей и вариантов метки</w:t>
      </w:r>
    </w:p>
    <w:p>
      <w:pPr>
        <w:pStyle w:val="FirstParagraph"/>
        <w:keepNext/>
        <w:spacing w:after="120" w:line="264" w:lineRule="auto"/>
      </w:pPr>
      <w:r>
        <w:rPr>
          <w:rFonts w:ascii="Arial" w:hAnsi="Arial" w:eastAsia="Arial" w:cs="Arial"/>
        </w:rPr>
        <w:t xml:space="preserve">Кросс-валидация по 2022 (Gini вне обучающих частей) и проверка 2023: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W w:type="dxa" w:w="9637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264"/>
        <w:gridCol w:w="2020"/>
        <w:gridCol w:w="2176"/>
        <w:gridCol w:w="2176"/>
      </w:tblGrid>
      <w:tr>
        <w:trPr>
          <w:tblHeader w:val="true"/>
          <w:cantSplit/>
        </w:trPr>
        <w:tc>
          <w:tcPr>
            <w:tcW w:type="dxa" w:w="3264"/>
            <w:shd w:val="clear" w:color="auto" w:fill="EDEDED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b/>
                <w:sz w:val="18"/>
              </w:rPr>
              <w:t xml:space="preserve">Модель</w:t>
            </w:r>
          </w:p>
        </w:tc>
        <w:tc>
          <w:tcPr>
            <w:tcW w:type="dxa" w:w="2021"/>
            <w:shd w:val="clear" w:color="auto" w:fill="EDEDED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b/>
                <w:sz w:val="18"/>
              </w:rPr>
              <w:t xml:space="preserve">Кросс-валидация 2022</w:t>
            </w:r>
          </w:p>
        </w:tc>
        <w:tc>
          <w:tcPr>
            <w:tcW w:type="dxa" w:w="2176"/>
            <w:shd w:val="clear" w:color="auto" w:fill="EDEDED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b/>
                <w:sz w:val="18"/>
              </w:rPr>
              <w:t xml:space="preserve">Проверка 2023, 12 мес.</w:t>
            </w:r>
          </w:p>
        </w:tc>
        <w:tc>
          <w:tcPr>
            <w:tcW w:type="dxa" w:w="2176"/>
            <w:shd w:val="clear" w:color="auto" w:fill="EDEDED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b/>
                <w:sz w:val="18"/>
              </w:rPr>
              <w:t xml:space="preserve">Проверка 2023, 21 мес.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Бустинг LightGBM (выбран)</w:t>
            </w:r>
          </w:p>
        </w:tc>
        <w:tc>
          <w:tcPr>
            <w:tcW w:type="dxa" w:w="2021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0,814</w:t>
            </w:r>
          </w:p>
        </w:tc>
        <w:tc>
          <w:tcPr>
            <w:tcW w:type="dxa" w:w="2176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0,761</w:t>
            </w:r>
          </w:p>
        </w:tc>
        <w:tc>
          <w:tcPr>
            <w:tcW w:type="dxa" w:w="2176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0,725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CatBoost</w:t>
            </w:r>
          </w:p>
        </w:tc>
        <w:tc>
          <w:tcPr>
            <w:tcW w:type="dxa" w:w="2021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0,807</w:t>
            </w:r>
          </w:p>
        </w:tc>
        <w:tc>
          <w:tcPr>
            <w:tcW w:type="dxa" w:w="2176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0,742</w:t>
            </w:r>
          </w:p>
        </w:tc>
        <w:tc>
          <w:tcPr>
            <w:tcW w:type="dxa" w:w="2176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0,717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Логистическая регрессия со сплайнами</w:t>
            </w:r>
          </w:p>
        </w:tc>
        <w:tc>
          <w:tcPr>
            <w:tcW w:type="dxa" w:w="2021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0,789</w:t>
            </w:r>
          </w:p>
        </w:tc>
        <w:tc>
          <w:tcPr>
            <w:tcW w:type="dxa" w:w="2176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0,744</w:t>
            </w:r>
          </w:p>
        </w:tc>
        <w:tc>
          <w:tcPr>
            <w:tcW w:type="dxa" w:w="2176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0,709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Логистическая регрессия линейная</w:t>
            </w:r>
          </w:p>
        </w:tc>
        <w:tc>
          <w:tcPr>
            <w:tcW w:type="dxa" w:w="2021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0,713</w:t>
            </w:r>
          </w:p>
        </w:tc>
        <w:tc>
          <w:tcPr>
            <w:tcW w:type="dxa" w:w="2176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0,670</w:t>
            </w:r>
          </w:p>
        </w:tc>
        <w:tc>
          <w:tcPr>
            <w:tcW w:type="dxa" w:w="2176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0,651</w:t>
            </w:r>
          </w:p>
        </w:tc>
      </w:tr>
    </w:tbl>
    <w:p>
      <w:pPr>
        <w:pStyle w:val="BodyText"/>
        <w:spacing w:after="120" w:line="264" w:lineRule="auto"/>
      </w:pPr>
      <w:r>
        <w:rPr>
          <w:rFonts w:ascii="Arial" w:hAnsi="Arial" w:eastAsia="Arial" w:cs="Arial"/>
        </w:rPr>
        <w:t xml:space="preserve">Бустинг лучше линейной регрессии на 0,10 в кросс-валидации (во всех пяти частях) и на 0,09 на проверке. Регрессия со сплайнами ближе: бустинг лучше неё в среднем на 0,024 в кросс-валидации (во всех пяти частях) и на 0,016 на проверке, доверительные интервалы пересекаются. Бустинг оставлен: он впереди во всех пяти частях и на проверке, а SHAP даёт главные факторы по каждой компании. Разница со сплайновой регрессией при этом небольшая.</w:t>
      </w:r>
    </w:p>
    <w:p>
      <w:pPr>
        <w:pStyle w:val="BodyText"/>
        <w:keepNext/>
        <w:spacing w:after="120" w:line="264" w:lineRule="auto"/>
      </w:pPr>
      <w:r>
        <w:rPr>
          <w:rFonts w:ascii="Arial" w:hAnsi="Arial" w:eastAsia="Arial" w:cs="Arial"/>
        </w:rPr>
        <w:t xml:space="preserve">Варианты метки (одна модель, одни признаки и части, кросс-валидация внутри 2022):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W w:type="dxa" w:w="9637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948"/>
        <w:gridCol w:w="4099"/>
        <w:gridCol w:w="2589"/>
      </w:tblGrid>
      <w:tr>
        <w:trPr>
          <w:tblHeader w:val="true"/>
          <w:cantSplit/>
        </w:trPr>
        <w:tc>
          <w:tcPr>
            <w:tcW w:type="dxa" w:w="2949"/>
            <w:shd w:val="clear" w:color="auto" w:fill="EDEDED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b/>
                <w:sz w:val="18"/>
              </w:rPr>
              <w:t xml:space="preserve">Обучено на</w:t>
            </w:r>
          </w:p>
        </w:tc>
        <w:tc>
          <w:tcPr>
            <w:tcW w:type="dxa" w:w="4100"/>
            <w:shd w:val="clear" w:color="auto" w:fill="EDEDED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b/>
                <w:sz w:val="18"/>
              </w:rPr>
              <w:t xml:space="preserve">Оценка на «любой дефолт» (банкротство и исключение)</w:t>
            </w:r>
          </w:p>
        </w:tc>
        <w:tc>
          <w:tcPr>
            <w:tcW w:type="dxa" w:w="2589"/>
            <w:shd w:val="clear" w:color="auto" w:fill="EDEDED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b/>
                <w:sz w:val="18"/>
              </w:rPr>
              <w:t xml:space="preserve">Оценка на «только банкротство»</w:t>
            </w:r>
          </w:p>
        </w:tc>
      </w:tr>
      <w:tr>
        <w:trPr>
          <w:cantSplit/>
        </w:trPr>
        <w:tc>
          <w:tcPr>
            <w:tcW w:type="dxa" w:w="2949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Вариант Б: банкротство и исключение</w:t>
            </w:r>
          </w:p>
        </w:tc>
        <w:tc>
          <w:tcPr>
            <w:tcW w:type="dxa" w:w="4100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0,813</w:t>
            </w:r>
          </w:p>
        </w:tc>
        <w:tc>
          <w:tcPr>
            <w:tcW w:type="dxa" w:w="2589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0,746</w:t>
            </w:r>
          </w:p>
        </w:tc>
      </w:tr>
      <w:tr>
        <w:trPr>
          <w:cantSplit/>
        </w:trPr>
        <w:tc>
          <w:tcPr>
            <w:tcW w:type="dxa" w:w="2949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Вариант А: только банкротство</w:t>
            </w:r>
          </w:p>
        </w:tc>
        <w:tc>
          <w:tcPr>
            <w:tcW w:type="dxa" w:w="4100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0,682</w:t>
            </w:r>
          </w:p>
        </w:tc>
        <w:tc>
          <w:tcPr>
            <w:tcW w:type="dxa" w:w="2589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0,777</w:t>
            </w:r>
          </w:p>
        </w:tc>
      </w:tr>
      <w:tr>
        <w:trPr>
          <w:cantSplit/>
        </w:trPr>
        <w:tc>
          <w:tcPr>
            <w:tcW w:type="dxa" w:w="2949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Вариант 0: любая ликвидация</w:t>
            </w:r>
          </w:p>
        </w:tc>
        <w:tc>
          <w:tcPr>
            <w:tcW w:type="dxa" w:w="4100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0,679</w:t>
            </w:r>
          </w:p>
        </w:tc>
        <w:tc>
          <w:tcPr>
            <w:tcW w:type="dxa" w:w="2589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0,430</w:t>
            </w:r>
          </w:p>
        </w:tc>
      </w:tr>
    </w:tbl>
    <w:p>
      <w:pPr>
        <w:pStyle w:val="BodyText"/>
        <w:spacing w:after="120" w:line="264" w:lineRule="auto"/>
      </w:pPr>
      <w:r>
        <w:rPr>
          <w:rFonts w:ascii="Arial" w:hAnsi="Arial" w:eastAsia="Arial" w:cs="Arial"/>
        </w:rPr>
        <w:t xml:space="preserve">Вариант Б лучше всех на «любом дефолте» и теряет около 0,03 на чистых банкротствах по сравнению с моделью, обученной только на банкротствах. Вариант 0 хуже по обеим целям: в нём реорганизации и добровольные ликвидации идут как дефолт. Выбор варианта Б по ТЗ подтверждается.</w:t>
      </w:r>
    </w:p>
    <w:bookmarkEnd w:id="29"/>
    <w:bookmarkStart w:id="30" w:name="проверка-на-утечку"/>
    <w:p>
      <w:pPr>
        <w:pStyle w:val="Heading2"/>
      </w:pPr>
      <w:r>
        <w:rPr>
          <w:rFonts w:ascii="Arial" w:hAnsi="Arial" w:eastAsia="Arial" w:cs="Arial"/>
        </w:rPr>
        <w:t xml:space="preserve">5. Проверка на утечку</w:t>
      </w:r>
    </w:p>
    <w:p>
      <w:pPr>
        <w:pStyle w:val="FirstParagraph"/>
        <w:spacing w:after="120" w:line="264" w:lineRule="auto"/>
      </w:pPr>
      <w:r>
        <w:rPr>
          <w:rFonts w:ascii="Arial" w:hAnsi="Arial" w:eastAsia="Arial" w:cs="Arial"/>
        </w:rPr>
        <w:t xml:space="preserve">Что проверено: поля витрины с событиями после среза убраны на этапе выборки (13 колонок); возраст считается как год отчётности минус год регистрации; лаги T−1 и T−2 у когорты 2023 совпадают со значениями когорты 2022 у всех 151 144 общих компаний по проверенным статьям (выручка, активы, капитал, прибыль, дебиторская задолженность); Gini ниже порога 0,9; без самого сильного признака (маржа) Gini 0,80, без маржи и абсолютной ликвидности 0,78, без возраста и признака «нет отчётности за прошлый год» 0,80; по кварталам окна Gini 0,80 / 0,83 / 0,69 / 0,71 (убывает по мере удаления от среза).</w:t>
      </w:r>
    </w:p>
    <w:p>
      <w:pPr>
        <w:pStyle w:val="BodyText"/>
        <w:spacing w:after="120" w:line="264" w:lineRule="auto"/>
      </w:pPr>
      <w:r>
        <w:rPr>
          <w:rFonts w:ascii="Arial" w:hAnsi="Arial" w:eastAsia="Arial" w:cs="Arial"/>
        </w:rPr>
        <w:t xml:space="preserve">По типу дефолта: на банкротствах Gini 0,70 на проверке и 0,73 вне обучения; на исключениях из ЕГРЮЛ 0,79 и 0,86. Исключения предсказываются легче: сильнее всего работает маржа около нуля при крупной выручке, типичная для компаний-транзитёров.</w:t>
      </w:r>
    </w:p>
    <w:p>
      <w:pPr>
        <w:pStyle w:val="BodyText"/>
        <w:spacing w:after="120" w:line="264" w:lineRule="auto"/>
      </w:pPr>
      <w:r>
        <w:rPr>
          <w:bCs/>
          <w:rFonts w:ascii="Arial" w:hAnsi="Arial" w:eastAsia="Arial" w:cs="Arial"/>
          <w:b/>
        </w:rPr>
        <w:t xml:space="preserve">Что проверить нельзя.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Витрина не хранит дату подачи отчётности, поэтому не доказано, что отчётность года T была подана до 01.04 следующего года. Собственное поле витрины</w:t>
      </w:r>
      <w:r>
        <w:rPr>
          <w:rFonts w:ascii="Arial" w:hAnsi="Arial" w:eastAsia="Arial" w:cs="Arial"/>
        </w:rPr>
        <w:t xml:space="preserve"> </w:t>
      </w:r>
      <w:r>
        <w:rPr>
          <w:rStyle w:val="VerbatimChar"/>
        </w:rPr>
        <w:t xml:space="preserve">pit_status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помечено как непроверенное. Если часть отчётов подана позже среза, качество на проверке могло быть завышено. Закрыть вопрос можно только датами подачи из первичного источника.</w:t>
      </w:r>
    </w:p>
    <w:bookmarkEnd w:id="30"/>
    <w:bookmarkStart w:id="31" w:name="боевой-скоринг-и-решения"/>
    <w:p>
      <w:pPr>
        <w:pStyle w:val="Heading2"/>
      </w:pPr>
      <w:r>
        <w:rPr>
          <w:rFonts w:ascii="Arial" w:hAnsi="Arial" w:eastAsia="Arial" w:cs="Arial"/>
        </w:rPr>
        <w:t xml:space="preserve">6. Боевой скоринг и решения</w:t>
      </w:r>
    </w:p>
    <w:p>
      <w:pPr>
        <w:pStyle w:val="FirstParagraph"/>
        <w:spacing w:after="120" w:line="264" w:lineRule="auto"/>
      </w:pPr>
      <w:r>
        <w:rPr>
          <w:rFonts w:ascii="Arial" w:hAnsi="Arial" w:eastAsia="Arial" w:cs="Arial"/>
        </w:rPr>
        <w:t xml:space="preserve">Для скоринга реальных покупателей подготовлена отчётность за 2024 год: 233 667 компаний по тем же фильтрам, из них 45 685 с выручкой от 800 млн ₽. Распределение на ней стабильно: PSI скора к обучению 0,001, доли уровней A/B/C/D 62% / 24% / 10% / 5%. Функция</w:t>
      </w:r>
      <w:r>
        <w:rPr>
          <w:rFonts w:ascii="Arial" w:hAnsi="Arial" w:eastAsia="Arial" w:cs="Arial"/>
        </w:rPr>
        <w:t xml:space="preserve"> </w:t>
      </w:r>
      <w:r>
        <w:rPr>
          <w:rStyle w:val="VerbatimChar"/>
        </w:rPr>
        <w:t xml:space="preserve">score(inn)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возвращает PD, уровень A–D и три фактора с направлением; для компании вне выборки (нет отчётности, выручка меньше 120 млн ₽, ОКВЭД K и O) возвращает статус</w:t>
      </w:r>
      <w:r>
        <w:rPr>
          <w:rFonts w:ascii="Arial" w:hAnsi="Arial" w:eastAsia="Arial" w:cs="Arial"/>
        </w:rPr>
        <w:t xml:space="preserve"> </w:t>
      </w:r>
      <w:r>
        <w:rPr>
          <w:rStyle w:val="VerbatimChar"/>
        </w:rPr>
        <w:t xml:space="preserve">no_financials</w:t>
      </w:r>
      <w:r>
        <w:rPr>
          <w:rFonts w:ascii="Arial" w:hAnsi="Arial" w:eastAsia="Arial" w:cs="Arial"/>
        </w:rPr>
        <w:t xml:space="preserve">, а не низкий риск. Когда будут выбраны ~1 200 покупателей,</w:t>
      </w:r>
      <w:r>
        <w:rPr>
          <w:rFonts w:ascii="Arial" w:hAnsi="Arial" w:eastAsia="Arial" w:cs="Arial"/>
        </w:rPr>
        <w:t xml:space="preserve"> </w:t>
      </w:r>
      <w:r>
        <w:rPr>
          <w:rStyle w:val="VerbatimChar"/>
        </w:rPr>
        <w:t xml:space="preserve">score_many(список ИНН)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вернёт PD, уровень и три фактора по всем сразу.</w:t>
      </w:r>
    </w:p>
    <w:p>
      <w:pPr>
        <w:pStyle w:val="BodyText"/>
        <w:keepNext/>
        <w:spacing w:after="120" w:line="264" w:lineRule="auto"/>
      </w:pPr>
      <w:r>
        <w:rPr>
          <w:rFonts w:ascii="Arial" w:hAnsi="Arial" w:eastAsia="Arial" w:cs="Arial"/>
        </w:rPr>
        <w:t xml:space="preserve">Два решения за тобой: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 w:eastAsia="Arial" w:cs="Arial"/>
        </w:rPr>
        <w:t xml:space="preserve">Для скоринга покупателей берём отчётность за 2024 год (подготовлена) или другой год? Модель учили на отчётности за 2022 год; год 2024 для неё допустим, но на нём нет проверки по меткам.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 w:eastAsia="Arial" w:cs="Arial"/>
        </w:rPr>
        <w:t xml:space="preserve">Переобучать ли модель на когортах 2022 и 2023 вместе перед боевым использованием? Так калибровка учтёт 2023 год и разрыв в децилях сократится, но независимой проверки после этого не будет, и метрики останутся из этого отчёта.</w:t>
      </w:r>
    </w:p>
    <w:bookmarkEnd w:id="31"/>
    <w:bookmarkStart w:id="32" w:name="что-в-поставке"/>
    <w:p>
      <w:pPr>
        <w:pStyle w:val="Heading2"/>
      </w:pPr>
      <w:r>
        <w:rPr>
          <w:rFonts w:ascii="Arial" w:hAnsi="Arial" w:eastAsia="Arial" w:cs="Arial"/>
        </w:rPr>
        <w:t xml:space="preserve">7. Что в поставке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W w:type="dxa" w:w="9637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688"/>
        <w:gridCol w:w="4949"/>
      </w:tblGrid>
      <w:tr>
        <w:trPr>
          <w:tblHeader w:val="true"/>
          <w:cantSplit/>
        </w:trPr>
        <w:tc>
          <w:tcPr>
            <w:tcW w:type="dxa" w:w="4689"/>
            <w:shd w:val="clear" w:color="auto" w:fill="EDEDED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b/>
                <w:sz w:val="18"/>
              </w:rPr>
              <w:t xml:space="preserve">Файл</w:t>
            </w:r>
          </w:p>
        </w:tc>
        <w:tc>
          <w:tcPr>
            <w:tcW w:type="dxa" w:w="4949"/>
            <w:shd w:val="clear" w:color="auto" w:fill="EDEDED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b/>
                <w:sz w:val="18"/>
              </w:rPr>
              <w:t xml:space="preserve">Что это</w:t>
            </w:r>
          </w:p>
        </w:tc>
      </w:tr>
      <w:tr>
        <w:trPr>
          <w:cantSplit/>
        </w:trPr>
        <w:tc>
          <w:tcPr>
            <w:tcW w:type="dxa" w:w="4689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Style w:val="VerbatimChar"/>
                <w:rFonts w:ascii="Arial" w:hAnsi="Arial" w:eastAsia="Arial" w:cs="Arial"/>
                <w:sz w:val="18"/>
              </w:rPr>
              <w:t xml:space="preserve">pd_model.pkl</w:t>
            </w:r>
          </w:p>
        </w:tc>
        <w:tc>
          <w:tcPr>
            <w:tcW w:type="dxa" w:w="4949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модель: признаки, бустинг, калибровка, границы уровней</w:t>
            </w:r>
          </w:p>
        </w:tc>
      </w:tr>
      <w:tr>
        <w:trPr>
          <w:cantSplit/>
        </w:trPr>
        <w:tc>
          <w:tcPr>
            <w:tcW w:type="dxa" w:w="4689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Style w:val="VerbatimChar"/>
                <w:rFonts w:ascii="Arial" w:hAnsi="Arial" w:eastAsia="Arial" w:cs="Arial"/>
                <w:sz w:val="18"/>
              </w:rPr>
              <w:t xml:space="preserve">score_inn.py</w:t>
            </w:r>
          </w:p>
        </w:tc>
        <w:tc>
          <w:tcPr>
            <w:tcW w:type="dxa" w:w="4949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функция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Arial" w:cs="Arial"/>
                <w:sz w:val="18"/>
              </w:rPr>
              <w:t xml:space="preserve">score(inn)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  <w:r>
              <w:rPr>
                <w:rFonts w:ascii="Arial" w:hAnsi="Arial" w:eastAsia="Arial" w:cs="Arial"/>
                <w:sz w:val="18"/>
              </w:rPr>
              <w:t xml:space="preserve">и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Arial" w:cs="Arial"/>
                <w:sz w:val="18"/>
              </w:rPr>
              <w:t xml:space="preserve">score_many(список ИНН)</w:t>
            </w:r>
          </w:p>
        </w:tc>
      </w:tr>
      <w:tr>
        <w:trPr>
          <w:cantSplit/>
        </w:trPr>
        <w:tc>
          <w:tcPr>
            <w:tcW w:type="dxa" w:w="4689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Style w:val="VerbatimChar"/>
                <w:rFonts w:ascii="Arial" w:hAnsi="Arial" w:eastAsia="Arial" w:cs="Arial"/>
                <w:sz w:val="18"/>
              </w:rPr>
              <w:t xml:space="preserve">scoring_store_2024.parquet</w:t>
            </w:r>
          </w:p>
        </w:tc>
        <w:tc>
          <w:tcPr>
            <w:tcW w:type="dxa" w:w="4949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данные для скоринга: отчётность за 2024 год</w:t>
            </w:r>
          </w:p>
        </w:tc>
      </w:tr>
      <w:tr>
        <w:trPr>
          <w:cantSplit/>
        </w:trPr>
        <w:tc>
          <w:tcPr>
            <w:tcW w:type="dxa" w:w="4689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Style w:val="VerbatimChar"/>
                <w:rFonts w:ascii="Arial" w:hAnsi="Arial" w:eastAsia="Arial" w:cs="Arial"/>
                <w:sz w:val="18"/>
              </w:rPr>
              <w:t xml:space="preserve">pd_company_year_features_2022.parquet</w:t>
            </w:r>
            <w:r>
              <w:rPr>
                <w:rFonts w:ascii="Arial" w:hAnsi="Arial" w:eastAsia="Arial" w:cs="Arial"/>
                <w:sz w:val="18"/>
              </w:rPr>
              <w:t xml:space="preserve">,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Arial" w:cs="Arial"/>
                <w:sz w:val="18"/>
              </w:rPr>
              <w:t xml:space="preserve">_2023.parquet</w:t>
            </w:r>
            <w:r>
              <w:rPr>
                <w:rFonts w:ascii="Arial" w:hAnsi="Arial" w:eastAsia="Arial" w:cs="Arial"/>
                <w:sz w:val="18"/>
              </w:rPr>
              <w:t xml:space="preserve">,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Arial" w:cs="Arial"/>
                <w:sz w:val="18"/>
              </w:rPr>
              <w:t xml:space="preserve">pd_fields.md</w:t>
            </w:r>
          </w:p>
        </w:tc>
        <w:tc>
          <w:tcPr>
            <w:tcW w:type="dxa" w:w="4949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таблица «компания-год» с признаками и метками, описание полей</w:t>
            </w:r>
          </w:p>
        </w:tc>
      </w:tr>
      <w:tr>
        <w:trPr>
          <w:cantSplit/>
        </w:trPr>
        <w:tc>
          <w:tcPr>
            <w:tcW w:type="dxa" w:w="4689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Style w:val="VerbatimChar"/>
                <w:rFonts w:ascii="Arial" w:hAnsi="Arial" w:eastAsia="Arial" w:cs="Arial"/>
                <w:sz w:val="18"/>
              </w:rPr>
              <w:t xml:space="preserve">pd_model_training_executed.ipynb</w:t>
            </w:r>
          </w:p>
        </w:tc>
        <w:tc>
          <w:tcPr>
            <w:tcW w:type="dxa" w:w="4949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ноутбук обучения с результатами</w:t>
            </w:r>
          </w:p>
        </w:tc>
      </w:tr>
      <w:tr>
        <w:trPr>
          <w:cantSplit/>
        </w:trPr>
        <w:tc>
          <w:tcPr>
            <w:tcW w:type="dxa" w:w="4689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Style w:val="VerbatimChar"/>
                <w:rFonts w:ascii="Arial" w:hAnsi="Arial" w:eastAsia="Arial" w:cs="Arial"/>
                <w:sz w:val="18"/>
              </w:rPr>
              <w:t xml:space="preserve">laptop_scripts/</w:t>
            </w:r>
            <w:r>
              <w:rPr>
                <w:rFonts w:ascii="Arial" w:hAnsi="Arial" w:eastAsia="Arial" w:cs="Arial"/>
                <w:sz w:val="18"/>
              </w:rPr>
              <w:t xml:space="preserve">,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Arial" w:cs="Arial"/>
                <w:sz w:val="18"/>
              </w:rPr>
              <w:t xml:space="preserve">0*_*.py</w:t>
            </w:r>
            <w:r>
              <w:rPr>
                <w:rFonts w:ascii="Arial" w:hAnsi="Arial" w:eastAsia="Arial" w:cs="Arial"/>
                <w:sz w:val="18"/>
              </w:rPr>
              <w:t xml:space="preserve">,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Arial" w:cs="Arial"/>
                <w:sz w:val="18"/>
              </w:rPr>
              <w:t xml:space="preserve">pd_*.py</w:t>
            </w:r>
          </w:p>
        </w:tc>
        <w:tc>
          <w:tcPr>
            <w:tcW w:type="dxa" w:w="4949"/>
          </w:tcPr>
          <w:p>
            <w:pPr>
              <w:pStyle w:val="Compact"/>
              <w:keepNext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скрипты сборки выборки и обучения (версия RFSD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Arial" w:cs="Arial"/>
                <w:sz w:val="18"/>
              </w:rPr>
              <w:t xml:space="preserve">ca3665997c97…</w:t>
            </w:r>
            <w:r>
              <w:rPr>
                <w:rFonts w:ascii="Arial" w:hAnsi="Arial" w:eastAsia="Arial" w:cs="Arial"/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689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rFonts w:ascii="Arial" w:hAnsi="Arial" w:eastAsia="Arial" w:cs="Arial"/>
                <w:sz w:val="18"/>
              </w:rPr>
              <w:t xml:space="preserve">out/</w:t>
            </w:r>
          </w:p>
        </w:tc>
        <w:tc>
          <w:tcPr>
            <w:tcW w:type="dxa" w:w="4949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 w:eastAsia="Arial" w:cs="Arial"/>
                <w:sz w:val="18"/>
              </w:rPr>
              <w:t xml:space="preserve">таблицы и результаты: подбор параметров, сравнения, калибровка, проверки</w:t>
            </w:r>
          </w:p>
        </w:tc>
      </w:tr>
    </w:tbl>
    <w:bookmarkEnd w:id="32"/>
    <w:bookmarkEnd w:id="33"/>
    <w:sectPr>
      <w:footerReference w:type="default" r:id="rId9"/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sz w:val="17"/>
      </w:rPr>
      <w:t xml:space="preserve">Модель PD покупателя: результаты, версия 1.0 · стр. </w:t>
    </w:r>
    <w:r>
      <w:rPr>
        <w:rFonts w:ascii="Arial" w:hAnsi="Arial" w:eastAsia="Arial" w:cs="Arial"/>
        <w:sz w:val="17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 w:cs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 w:cs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 w:cs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 w:cs="Arial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0"/>
      <w:jc w:val="center"/>
    </w:pPr>
    <w:rPr>
      <w:rFonts w:ascii="Arial" w:hAnsi="Arial" w:eastAsia="Arial" w:cs="Arial"/>
      <w:b/>
      <w:bCs/>
      <w:color w:val="000000"/>
      <w:sz w:val="3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Relationship Id="rId25" Type="http://schemas.openxmlformats.org/officeDocument/2006/relationships/image" Target="media/rId25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2026-10-27T08:24:56Z</dcterms:created>
  <dcterms:modified xsi:type="dcterms:W3CDTF">2026-10-27T08:24:56Z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