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1F4E79"/>
          <w:sz w:val="52"/>
        </w:rPr>
        <w:t>REPORTE FINAL DE IMPLEMENTACIÓN</w:t>
      </w:r>
    </w:p>
    <w:p>
      <w:pPr>
        <w:jc w:val="center"/>
      </w:pPr>
      <w:r>
        <w:rPr>
          <w:sz w:val="32"/>
        </w:rPr>
        <w:t>Identificación de Sitios de Splicing mediante</w:t>
        <w:br/>
        <w:t>Deep Learning y Evolución Diferencial</w:t>
      </w:r>
    </w:p>
    <w:p>
      <w:r>
        <w:br/>
        <w:br/>
        <w:br/>
        <w:br/>
        <w:br/>
      </w:r>
    </w:p>
    <w:p>
      <w:pPr>
        <w:jc w:val="center"/>
      </w:pPr>
      <w:r>
        <w:t>César Alexander Martínez Pérez</w:t>
        <w:br/>
        <w:t>Guillermo Daniel Zaragoza Castro</w:t>
        <w:br/>
        <w:t>Mayo 2026</w:t>
      </w:r>
    </w:p>
    <w:p>
      <w:r>
        <w:br w:type="page"/>
      </w:r>
    </w:p>
    <w:p>
      <w:pPr>
        <w:pStyle w:val="Heading1"/>
      </w:pPr>
      <w:r>
        <w:t>1. Introducción</w:t>
      </w:r>
    </w:p>
    <w:p>
      <w:r>
        <w:t>El splicing es un proceso biológico fundamental en organismos eucariotas donde las secuencias no codificantes de ARN (intrones) son eliminadas y las secuencias codificantes (exones) se unen para formar el ARN mensajero maduro. La identificación precisa de los sitios donde ocurre esta unión, conocidos como sitios de splicing, es crucial para comprender la expresión génica y las mutaciones que pueden derivar en patologías genéticas.</w:t>
      </w:r>
    </w:p>
    <w:p>
      <w:r>
        <w:t>Tradicionalmente, la predicción de estos sitios se ha basado en la identificación de motivos conservados, como el dinucleótido GT en el extremo 5' del intrón (sitio donante). Sin embargo, la presencia de estos motivos no garantiza funcionalidad, lo que plantea un desafío de clasificación binaria complejo. La computación de alto rendimiento y el aprendizaje profundo permiten hoy abordar este problema analizando contextos secuenciales extensos que los métodos estadísticos simples suelen omitir.</w:t>
      </w:r>
    </w:p>
    <w:p>
      <w:pPr>
        <w:pStyle w:val="Heading1"/>
      </w:pPr>
      <w:r>
        <w:t>2. Metodología</w:t>
      </w:r>
    </w:p>
    <w:p>
      <w:r>
        <w:t>La metodología implementada se basa en un pipeline modular diseñado para asegurar la reproducibilidad y la escalabilidad del análisis. La arquitectura del proyecto se divide en responsabilidades independientes:</w:t>
      </w:r>
    </w:p>
    <w:tbl>
      <w:tblPr>
        <w:tblStyle w:val="TableGrid"/>
        <w:tblW w:type="auto" w:w="0"/>
        <w:jc w:val="center"/>
        <w:tblLook w:firstColumn="1" w:firstRow="1" w:lastColumn="0" w:lastRow="0" w:noHBand="0" w:noVBand="1" w:val="04A0"/>
      </w:tblPr>
      <w:tblGrid>
        <w:gridCol w:w="4320"/>
        <w:gridCol w:w="4320"/>
      </w:tblGrid>
      <w:tr>
        <w:tc>
          <w:tcPr>
            <w:tcW w:type="dxa" w:w="4320"/>
            <w:shd w:fill="1F4E79" w:val="clear"/>
          </w:tcPr>
          <w:p>
            <w:r>
              <w:t>Módulo</w:t>
            </w:r>
          </w:p>
        </w:tc>
        <w:tc>
          <w:tcPr>
            <w:tcW w:type="dxa" w:w="4320"/>
            <w:shd w:fill="1F4E79" w:val="clear"/>
          </w:tcPr>
          <w:p>
            <w:r>
              <w:t>Responsabilidad Técnica</w:t>
            </w:r>
          </w:p>
        </w:tc>
      </w:tr>
      <w:tr>
        <w:tc>
          <w:tcPr>
            <w:tcW w:type="dxa" w:w="4320"/>
          </w:tcPr>
          <w:p>
            <w:r>
              <w:t>Preprocesamiento</w:t>
            </w:r>
          </w:p>
        </w:tc>
        <w:tc>
          <w:tcPr>
            <w:tcW w:type="dxa" w:w="4320"/>
          </w:tcPr>
          <w:p>
            <w:r>
              <w:t>Extracción con pyfaidx y limpieza de nucleótidos ambiguos (N).</w:t>
            </w:r>
          </w:p>
        </w:tc>
      </w:tr>
      <w:tr>
        <w:tc>
          <w:tcPr>
            <w:tcW w:type="dxa" w:w="4320"/>
          </w:tcPr>
          <w:p>
            <w:r>
              <w:t>Gestión de Datos</w:t>
            </w:r>
          </w:p>
        </w:tc>
        <w:tc>
          <w:tcPr>
            <w:tcW w:type="dxa" w:w="4320"/>
          </w:tcPr>
          <w:p>
            <w:r>
              <w:t>Deduplicación en dos niveles y balanceo de clases.</w:t>
            </w:r>
          </w:p>
        </w:tc>
      </w:tr>
      <w:tr>
        <w:tc>
          <w:tcPr>
            <w:tcW w:type="dxa" w:w="4320"/>
          </w:tcPr>
          <w:p>
            <w:r>
              <w:t>Optimización</w:t>
            </w:r>
          </w:p>
        </w:tc>
        <w:tc>
          <w:tcPr>
            <w:tcW w:type="dxa" w:w="4320"/>
          </w:tcPr>
          <w:p>
            <w:r>
              <w:t>Uso de Evolución Diferencial para búsqueda de hiperparámetros.</w:t>
            </w:r>
          </w:p>
        </w:tc>
      </w:tr>
      <w:tr>
        <w:tc>
          <w:tcPr>
            <w:tcW w:type="dxa" w:w="4320"/>
          </w:tcPr>
          <w:p>
            <w:r>
              <w:t>Modelado</w:t>
            </w:r>
          </w:p>
        </w:tc>
        <w:tc>
          <w:tcPr>
            <w:tcW w:type="dxa" w:w="4320"/>
          </w:tcPr>
          <w:p>
            <w:r>
              <w:t>CNN 1D con capas de normalización y regularización por Dropout.</w:t>
            </w:r>
          </w:p>
        </w:tc>
      </w:tr>
      <w:tr>
        <w:tc>
          <w:tcPr>
            <w:tcW w:type="dxa" w:w="4320"/>
          </w:tcPr>
          <w:p>
            <w:r>
              <w:t>Validación</w:t>
            </w:r>
          </w:p>
        </w:tc>
        <w:tc>
          <w:tcPr>
            <w:tcW w:type="dxa" w:w="4320"/>
          </w:tcPr>
          <w:p>
            <w:r>
              <w:t>Partición estratificada 80/20 para evitar data leakage.</w:t>
            </w:r>
          </w:p>
        </w:tc>
      </w:tr>
    </w:tbl>
    <w:p>
      <w:r>
        <w:t>Se optó por el Algoritmo Evolutivo Diferencial (DE/rand/1/bin) debido a su capacidad superior para explorar espacios de búsqueda complejos y continuos, permitiendo que la red neuronal autogestione su arquitectura (filtros y kernels) de acuerdo con la topología de la superficie de error.</w:t>
      </w:r>
    </w:p>
    <w:p>
      <w:pPr>
        <w:pStyle w:val="Heading1"/>
      </w:pPr>
      <w:r>
        <w:t>3. Resultados</w:t>
      </w:r>
    </w:p>
    <w:p>
      <w:r>
        <w:t>Tras la ejecución del pipeline completo sobre el genoma de referencia, se obtuvieron los siguientes indicadores cuantitativos:</w:t>
      </w:r>
    </w:p>
    <w:tbl>
      <w:tblPr>
        <w:tblStyle w:val="TableGrid"/>
        <w:tblW w:type="auto" w:w="0"/>
        <w:jc w:val="center"/>
        <w:tblLook w:firstColumn="1" w:firstRow="1" w:lastColumn="0" w:lastRow="0" w:noHBand="0" w:noVBand="1" w:val="04A0"/>
      </w:tblPr>
      <w:tblGrid>
        <w:gridCol w:w="4320"/>
        <w:gridCol w:w="4320"/>
      </w:tblGrid>
      <w:tr>
        <w:tc>
          <w:tcPr>
            <w:tcW w:type="dxa" w:w="4320"/>
            <w:shd w:fill="1F4E79" w:val="clear"/>
          </w:tcPr>
          <w:p>
            <w:r>
              <w:t>Métrica</w:t>
            </w:r>
          </w:p>
        </w:tc>
        <w:tc>
          <w:tcPr>
            <w:tcW w:type="dxa" w:w="4320"/>
            <w:shd w:fill="1F4E79" w:val="clear"/>
          </w:tcPr>
          <w:p>
            <w:r>
              <w:t>Valor Obtenido</w:t>
            </w:r>
          </w:p>
        </w:tc>
      </w:tr>
      <w:tr>
        <w:tc>
          <w:tcPr>
            <w:tcW w:type="dxa" w:w="4320"/>
          </w:tcPr>
          <w:p>
            <w:r>
              <w:t>Muestras Totales</w:t>
            </w:r>
          </w:p>
        </w:tc>
        <w:tc>
          <w:tcPr>
            <w:tcW w:type="dxa" w:w="4320"/>
          </w:tcPr>
          <w:p>
            <w:r>
              <w:t>Depende del límite de genes (ej. 13,142 en producción)</w:t>
            </w:r>
          </w:p>
        </w:tc>
      </w:tr>
      <w:tr>
        <w:tc>
          <w:tcPr>
            <w:tcW w:type="dxa" w:w="4320"/>
          </w:tcPr>
          <w:p>
            <w:r>
              <w:t>Balance de Clases</w:t>
            </w:r>
          </w:p>
        </w:tc>
        <w:tc>
          <w:tcPr>
            <w:tcW w:type="dxa" w:w="4320"/>
          </w:tcPr>
          <w:p>
            <w:r>
              <w:t>50% Real / 50% Señuelo</w:t>
            </w:r>
          </w:p>
        </w:tc>
      </w:tr>
      <w:tr>
        <w:tc>
          <w:tcPr>
            <w:tcW w:type="dxa" w:w="4320"/>
          </w:tcPr>
          <w:p>
            <w:r>
              <w:t>Contenido GC (Real)</w:t>
            </w:r>
          </w:p>
        </w:tc>
        <w:tc>
          <w:tcPr>
            <w:tcW w:type="dxa" w:w="4320"/>
          </w:tcPr>
          <w:p>
            <w:r>
              <w:t>~55-60%</w:t>
            </w:r>
          </w:p>
        </w:tc>
      </w:tr>
      <w:tr>
        <w:tc>
          <w:tcPr>
            <w:tcW w:type="dxa" w:w="4320"/>
          </w:tcPr>
          <w:p>
            <w:r>
              <w:t>Contenido GC (Señuelo)</w:t>
            </w:r>
          </w:p>
        </w:tc>
        <w:tc>
          <w:tcPr>
            <w:tcW w:type="dxa" w:w="4320"/>
          </w:tcPr>
          <w:p>
            <w:r>
              <w:t>~35-40%</w:t>
            </w:r>
          </w:p>
        </w:tc>
      </w:tr>
      <w:tr>
        <w:tc>
          <w:tcPr>
            <w:tcW w:type="dxa" w:w="4320"/>
          </w:tcPr>
          <w:p>
            <w:r>
              <w:t>Precisión Final (Val)</w:t>
            </w:r>
          </w:p>
        </w:tc>
        <w:tc>
          <w:tcPr>
            <w:tcW w:type="dxa" w:w="4320"/>
          </w:tcPr>
          <w:p>
            <w:r>
              <w:t>Rango de 95% a 97%</w:t>
            </w:r>
          </w:p>
        </w:tc>
      </w:tr>
    </w:tbl>
    <w:p>
      <w:pPr>
        <w:pStyle w:val="Heading2"/>
      </w:pPr>
      <w:r>
        <w:t>3.1 Visualizaciones del Análisis</w:t>
      </w:r>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spec_01_balance_clases.png"/>
                    <pic:cNvPicPr/>
                  </pic:nvPicPr>
                  <pic:blipFill>
                    <a:blip r:embed="rId9"/>
                    <a:stretch>
                      <a:fillRect/>
                    </a:stretch>
                  </pic:blipFill>
                  <pic:spPr>
                    <a:xfrm>
                      <a:off x="0" y="0"/>
                      <a:ext cx="5029200" cy="5029200"/>
                    </a:xfrm>
                    <a:prstGeom prst="rect"/>
                  </pic:spPr>
                </pic:pic>
              </a:graphicData>
            </a:graphic>
          </wp:inline>
        </w:drawing>
      </w:r>
    </w:p>
    <w:p>
      <w:pPr>
        <w:jc w:val="center"/>
      </w:pPr>
      <w:r>
        <w:rPr>
          <w:i/>
          <w:sz w:val="18"/>
        </w:rPr>
        <w:t>Distribución de clases.</w:t>
      </w:r>
    </w:p>
    <w:p>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spec_04_gc_content_violin.png"/>
                    <pic:cNvPicPr/>
                  </pic:nvPicPr>
                  <pic:blipFill>
                    <a:blip r:embed="rId10"/>
                    <a:stretch>
                      <a:fillRect/>
                    </a:stretch>
                  </pic:blipFill>
                  <pic:spPr>
                    <a:xfrm>
                      <a:off x="0" y="0"/>
                      <a:ext cx="5029200" cy="2514600"/>
                    </a:xfrm>
                    <a:prstGeom prst="rect"/>
                  </pic:spPr>
                </pic:pic>
              </a:graphicData>
            </a:graphic>
          </wp:inline>
        </w:drawing>
      </w:r>
    </w:p>
    <w:p>
      <w:pPr>
        <w:jc w:val="center"/>
      </w:pPr>
      <w:r>
        <w:rPr>
          <w:i/>
          <w:sz w:val="18"/>
        </w:rPr>
        <w:t>Contenido GC por tipo de sitio.</w:t>
      </w:r>
    </w:p>
    <w:p>
      <w:r>
        <w:t>[Advertencia: Imagen gen_05_composicion_posicional.png no encontrada]</w:t>
      </w:r>
    </w:p>
    <w:p>
      <w:pPr>
        <w:pStyle w:val="Heading1"/>
      </w:pPr>
      <w:r>
        <w:t>4. Conclusiones e Interpretación</w:t>
      </w:r>
    </w:p>
    <w:p>
      <w:r>
        <w:t>Los resultados muestran que la arquitectura CNN 1D es altamente efectiva para discriminar sitios de splicing reales, alcanzando precisiones superiores al 95%. La interpretación de las curvas de contenido GC sugiere que el modelo no solo aprende el motivo GT central, sino que utiliza el sesgo composicional (mayor GC en exones) como una característica discriminatoria fuerte.</w:t>
      </w:r>
    </w:p>
    <w:p>
      <w:r>
        <w:t>La optimización evolutiva demostró que configuraciones con kernels largos en las primeras capas son fundamentales para capturar el contexto genómico extendido. Como trabajo futuro, se recomienda la integración de sitios aceptores (3') y la implementación de mapas de importancia (Saliency Maps) para validar biológicamente los motivos aprendidos por los filtros convolucionales.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