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Final de Pipeline Genómico</w:t>
      </w:r>
    </w:p>
    <w:p>
      <w:pPr>
        <w:pStyle w:val="Heading1"/>
      </w:pPr>
      <w:r>
        <w:t>3. Resultados</w:t>
      </w:r>
    </w:p>
    <w:p>
      <w:r>
        <w:t>Visualizaciones detalladas del análisis genómico y desempeño del modelo:</w:t>
      </w:r>
    </w:p>
    <w:p>
      <w:pPr>
        <w:pStyle w:val="Heading2"/>
      </w:pPr>
      <w:r>
        <w:t>Composición global de la anotación genómica.</w:t>
      </w:r>
    </w:p>
    <w:p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_01_resumen_anot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Composición global de la anotación genómica.</w:t>
      </w:r>
    </w:p>
    <w:p>
      <w:pPr>
        <w:pStyle w:val="Heading2"/>
      </w:pPr>
      <w:r>
        <w:t>Balance de clases y tipos de sitio.</w:t>
      </w:r>
    </w:p>
    <w:p>
      <w:r>
        <w:drawing>
          <wp:inline xmlns:a="http://schemas.openxmlformats.org/drawingml/2006/main" xmlns:pic="http://schemas.openxmlformats.org/drawingml/2006/picture">
            <wp:extent cx="5029200" cy="21553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1_balance_clases_splic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Balance de clases y tipos de sitio.</w:t>
      </w:r>
    </w:p>
    <w:p>
      <w:pPr>
        <w:pStyle w:val="Heading2"/>
      </w:pPr>
      <w:r>
        <w:t>Comparativa de Contenido GC (Donantes vs Aceptores).</w:t>
      </w:r>
    </w:p>
    <w:p>
      <w:r>
        <w:drawing>
          <wp:inline xmlns:a="http://schemas.openxmlformats.org/drawingml/2006/main" xmlns:pic="http://schemas.openxmlformats.org/drawingml/2006/picture">
            <wp:extent cx="5029200" cy="2011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_04_contenido_gc_por_ti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Comparativa de Contenido GC (Donantes vs Aceptores).</w:t>
      </w:r>
    </w:p>
    <w:p>
      <w:pPr>
        <w:pStyle w:val="Heading2"/>
      </w:pPr>
      <w:r>
        <w:t>Curvas de aprendizaje (Loss, Accuracy, F1).</w:t>
      </w:r>
    </w:p>
    <w:p>
      <w:r>
        <w:drawing>
          <wp:inline xmlns:a="http://schemas.openxmlformats.org/drawingml/2006/main" xmlns:pic="http://schemas.openxmlformats.org/drawingml/2006/picture">
            <wp:extent cx="5029200" cy="2155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enamiento_curvas_desempeñ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55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Curvas de aprendizaje (Loss, Accuracy, F1).</w:t>
      </w:r>
    </w:p>
    <w:p>
      <w:pPr>
        <w:pStyle w:val="Heading2"/>
      </w:pPr>
      <w:r>
        <w:t>Curva ROC y AUC final.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uacion_final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Curva ROC y AUC final.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