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  <w:br/>
        <w:br/>
      </w:r>
    </w:p>
    <w:p>
      <w:pPr>
        <w:jc w:val="center"/>
      </w:pPr>
      <w:r>
        <w:rPr>
          <w:b/>
          <w:color w:val="1F4E79"/>
          <w:sz w:val="52"/>
        </w:rPr>
        <w:t>REPORTE FINAL DE IMPLEMENTACIÓN</w:t>
      </w:r>
    </w:p>
    <w:p>
      <w:pPr>
        <w:jc w:val="center"/>
      </w:pPr>
      <w:r>
        <w:rPr>
          <w:sz w:val="32"/>
        </w:rPr>
        <w:t>Identificación de Sitios de Splicing mediante</w:t>
        <w:br/>
        <w:t>Deep Learning y Evolución Diferencial</w:t>
      </w:r>
    </w:p>
    <w:p>
      <w:r>
        <w:br/>
        <w:br/>
        <w:br/>
        <w:br/>
        <w:br/>
      </w:r>
    </w:p>
    <w:p>
      <w:pPr>
        <w:jc w:val="center"/>
      </w:pPr>
      <w:r>
        <w:t>César Alexander Martínez Pérez</w:t>
        <w:br/>
        <w:t>Guillermo Daniel Zaragoza Castro</w:t>
        <w:br/>
        <w:t>Mayo 2026</w:t>
      </w:r>
    </w:p>
    <w:p>
      <w:r>
        <w:br w:type="page"/>
      </w:r>
    </w:p>
    <w:p>
      <w:pPr>
        <w:pStyle w:val="Heading1"/>
      </w:pPr>
      <w:r>
        <w:t>1. Introducción</w:t>
      </w:r>
    </w:p>
    <w:p>
      <w:r>
        <w:t>El splicing es un proceso fundamental en eucariotas...</w:t>
      </w:r>
    </w:p>
    <w:p>
      <w:r>
        <w:t>La predicción automatizada mediante CNNs permite...</w:t>
      </w:r>
    </w:p>
    <w:p>
      <w:pPr>
        <w:pStyle w:val="Heading1"/>
      </w:pPr>
      <w:r>
        <w:t>2. Metodología</w:t>
      </w:r>
    </w:p>
    <w:p>
      <w:r>
        <w:t>Se implementó un pipeline modular con las siguientes etapas: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 w:val="clear"/>
          </w:tcPr>
          <w:p>
            <w:r>
              <w:t>Módulo</w:t>
            </w:r>
          </w:p>
        </w:tc>
        <w:tc>
          <w:tcPr>
            <w:tcW w:type="dxa" w:w="4320"/>
            <w:shd w:fill="1F4E79" w:val="clear"/>
          </w:tcPr>
          <w:p>
            <w:r>
              <w:t>Descripción</w:t>
            </w:r>
          </w:p>
        </w:tc>
      </w:tr>
      <w:tr>
        <w:tc>
          <w:tcPr>
            <w:tcW w:type="dxa" w:w="4320"/>
          </w:tcPr>
          <w:p>
            <w:r>
              <w:t>Preprocesamiento</w:t>
            </w:r>
          </w:p>
        </w:tc>
        <w:tc>
          <w:tcPr>
            <w:tcW w:type="dxa" w:w="4320"/>
          </w:tcPr>
          <w:p>
            <w:r>
              <w:t>Limpieza y extracción con pyfaidx.</w:t>
            </w:r>
          </w:p>
        </w:tc>
      </w:tr>
      <w:tr>
        <w:tc>
          <w:tcPr>
            <w:tcW w:type="dxa" w:w="4320"/>
          </w:tcPr>
          <w:p>
            <w:r>
              <w:t>Optimización</w:t>
            </w:r>
          </w:p>
        </w:tc>
        <w:tc>
          <w:tcPr>
            <w:tcW w:type="dxa" w:w="4320"/>
          </w:tcPr>
          <w:p>
            <w:r>
              <w:t>Algoritmo Evolutivo Diferencial.</w:t>
            </w:r>
          </w:p>
        </w:tc>
      </w:tr>
      <w:tr>
        <w:tc>
          <w:tcPr>
            <w:tcW w:type="dxa" w:w="4320"/>
          </w:tcPr>
          <w:p>
            <w:r>
              <w:t>Entrenamiento</w:t>
            </w:r>
          </w:p>
        </w:tc>
        <w:tc>
          <w:tcPr>
            <w:tcW w:type="dxa" w:w="4320"/>
          </w:tcPr>
          <w:p>
            <w:r>
              <w:t>CNN 1D en PyTorch.</w:t>
            </w:r>
          </w:p>
        </w:tc>
      </w:tr>
    </w:tbl>
    <w:p>
      <w:pPr>
        <w:pStyle w:val="Heading1"/>
      </w:pPr>
      <w:r>
        <w:t>3. Resultados</w:t>
      </w:r>
    </w:p>
    <w:p>
      <w:r>
        <w:t>A continuación se presentan las visualizaciones del análisis específico (Puntos 1-6):</w:t>
      </w:r>
    </w:p>
    <w:p>
      <w:pPr>
        <w:pStyle w:val="Heading2"/>
      </w:pPr>
      <w:r>
        <w:t>Punto 1: Balance de clases.</w:t>
      </w:r>
    </w:p>
    <w:p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_01_balance_clas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Punto 1: Balance de clases.</w:t>
      </w:r>
    </w:p>
    <w:p>
      <w:pPr>
        <w:pStyle w:val="Heading2"/>
      </w:pPr>
      <w:r>
        <w:t>Punto 2: Distribución por cromosoma.</w:t>
      </w:r>
    </w:p>
    <w:p>
      <w:r>
        <w:drawing>
          <wp:inline xmlns:a="http://schemas.openxmlformats.org/drawingml/2006/main" xmlns:pic="http://schemas.openxmlformats.org/drawingml/2006/picture">
            <wp:extent cx="5029200" cy="2514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_02_dist_cromosom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Punto 2: Distribución por cromosoma.</w:t>
      </w:r>
    </w:p>
    <w:p>
      <w:pPr>
        <w:pStyle w:val="Heading2"/>
      </w:pPr>
      <w:r>
        <w:t>Punto 3: Composición nucleotídica global.</w:t>
      </w:r>
    </w:p>
    <w:p>
      <w:r>
        <w:drawing>
          <wp:inline xmlns:a="http://schemas.openxmlformats.org/drawingml/2006/main" xmlns:pic="http://schemas.openxmlformats.org/drawingml/2006/picture">
            <wp:extent cx="5029200" cy="5029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_03_composicion_glob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Punto 3: Composición nucleotídica global.</w:t>
      </w:r>
    </w:p>
    <w:p>
      <w:pPr>
        <w:pStyle w:val="Heading2"/>
      </w:pPr>
      <w:r>
        <w:t>Punto 4: Contenido GC por tipo de sitio.</w:t>
      </w:r>
    </w:p>
    <w:p>
      <w:r>
        <w:drawing>
          <wp:inline xmlns:a="http://schemas.openxmlformats.org/drawingml/2006/main" xmlns:pic="http://schemas.openxmlformats.org/drawingml/2006/picture">
            <wp:extent cx="5029200" cy="2514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_04_gc_content_viol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Punto 4: Contenido GC por tipo de sitio.</w:t>
      </w:r>
    </w:p>
    <w:p>
      <w:pPr>
        <w:pStyle w:val="Heading2"/>
      </w:pPr>
      <w:r>
        <w:t>Punto 5: Mapa de calor de correlación.</w:t>
      </w:r>
    </w:p>
    <w:p>
      <w:r>
        <w:drawing>
          <wp:inline xmlns:a="http://schemas.openxmlformats.org/drawingml/2006/main" xmlns:pic="http://schemas.openxmlformats.org/drawingml/2006/picture">
            <wp:extent cx="5029200" cy="2514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_05_correlacion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Punto 5: Mapa de calor de correlación.</w:t>
      </w:r>
    </w:p>
    <w:p>
      <w:pPr>
        <w:pStyle w:val="Heading2"/>
      </w:pPr>
      <w:r>
        <w:t>Punto 6: Perfil de longitud de exones.</w:t>
      </w:r>
    </w:p>
    <w:p>
      <w:r>
        <w:drawing>
          <wp:inline xmlns:a="http://schemas.openxmlformats.org/drawingml/2006/main" xmlns:pic="http://schemas.openxmlformats.org/drawingml/2006/picture">
            <wp:extent cx="5029200" cy="25146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_06_longitud_exon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Punto 6: Perfil de longitud de exones.</w:t>
      </w:r>
    </w:p>
    <w:p>
      <w:pPr>
        <w:pStyle w:val="Heading1"/>
      </w:pPr>
      <w:r>
        <w:t>4. Conclusiones e Interpretación</w:t>
      </w:r>
    </w:p>
    <w:p>
      <w:r>
        <w:t>La alta precisión obtenida sugiere que el modelo captura eficazmente...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