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Final de Pipeline Genómico</w:t>
      </w:r>
    </w:p>
    <w:p>
      <w:pPr>
        <w:pStyle w:val="Heading1"/>
      </w:pPr>
      <w:r>
        <w:t>3. Resultados</w:t>
      </w:r>
    </w:p>
    <w:p>
      <w:r>
        <w:t>Visualizaciones del análisis detallado y desempeño del modelo:</w:t>
      </w:r>
    </w:p>
    <w:p>
      <w:pPr>
        <w:pStyle w:val="Heading2"/>
      </w:pPr>
      <w:r>
        <w:t>Composición de la anotación genómica.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_01_composicion_fea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Composición de la anotación genómica.</w:t>
      </w:r>
    </w:p>
    <w:p>
      <w:pPr>
        <w:pStyle w:val="Heading2"/>
      </w:pPr>
      <w:r>
        <w:t>Balance de clases (Real vs Señuelo).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01_balance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Balance de clases (Real vs Señuelo).</w:t>
      </w:r>
    </w:p>
    <w:p>
      <w:pPr>
        <w:pStyle w:val="Heading2"/>
      </w:pPr>
      <w:r>
        <w:t>Distribución de Contenido GC.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04_gc_content_viol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Distribución de Contenido GC.</w:t>
      </w:r>
    </w:p>
    <w:p>
      <w:pPr>
        <w:pStyle w:val="Heading2"/>
      </w:pPr>
      <w:r>
        <w:t>Curvas de Aprendizaje (Loss, Acc, F1).</w:t>
      </w:r>
    </w:p>
    <w:p>
      <w:r>
        <w:drawing>
          <wp:inline xmlns:a="http://schemas.openxmlformats.org/drawingml/2006/main" xmlns:pic="http://schemas.openxmlformats.org/drawingml/2006/picture">
            <wp:extent cx="5029200" cy="2155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enamiento_curvas_desempeñ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Curvas de Aprendizaje (Loss, Acc, F1).</w:t>
      </w:r>
    </w:p>
    <w:p>
      <w:pPr>
        <w:pStyle w:val="Heading2"/>
      </w:pPr>
      <w:r>
        <w:t>Curva ROC y AUC final.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cion_final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ROC y AUC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