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!-- TITULO PRINCIPAL -->
    <w:p>
      <w:pPr>
        <w:pStyle w:val="Title"/>
        <w:jc w:val="center"/>
        <w:spacing w:after="240"/>
      </w:pPr>
      <w:r>
        <w:t>Plantillas de Miro – Taller 3</w:t>
      </w:r>
    </w:p>
    <w:p>
      <w:pPr>
        <w:jc w:val="center"/>
        <w:spacing w:after="360"/>
      </w:pPr>
      <w:r>
        <w:rPr>
          <w:i/>
          <w:color w:val="64748B"/>
          <w:sz w:val="22"/>
        </w:rPr>
        <w:t>Guía lista para copiar y armar en Miro en menos de 10 minutos</w:t>
      </w:r>
    </w:p>
    <!-- FRAME 1 -->
    <w:p>
      <w:pPr>
        <w:pStyle w:val="Heading1"/>
        <w:spacing w:before="240" w:after="120"/>
      </w:pPr>
      <w:r>
        <w:t>1. Frame Principal del Taller</w:t>
      </w:r>
    </w:p>
    <w:p>
      <w:pPr>
        <w:spacing w:after="120"/>
      </w:pPr>
      <w:r>
        <w:rPr>
          <w:b/>
        </w:rPr>
        <w:t>Nombre del Frame grande en Miro: </w:t>
      </w:r>
      <w:r>
        <w:rPr>
          <w:b/>
          <w:color w:val="2563EB"/>
        </w:rPr>
        <w:t>Taller 3 – CI/CD + Render + ConfigCat + DoD Final</w:t>
      </w:r>
    </w:p>
    <w:p>
      <w:pPr>
        <w:spacing w:after="240"/>
      </w:pPr>
      <w:r>
        <w:t>Objetivo del Frame: Unificar la visión de extremo a extremo del flujo de Trunk-Based Development (TBD), automatización de calidad, despliegue continuo en Render y desacople con Feature Toggles.</w:t>
      </w:r>
    </w:p>
    <!-- FRAME 2 -->
    <w:p>
      <w:pPr>
        <w:pStyle w:val="Heading1"/>
        <w:spacing w:before="240" w:after="120"/>
      </w:pPr>
      <w:r>
        <w:t>2. Plantilla: Diagnóstico del Pipeline Actual (Bloque 1)</w:t>
      </w:r>
    </w:p>
    <w:p>
      <w:pPr>
        <w:pStyle w:val="Heading2"/>
        <w:spacing w:after="80"/>
      </w:pPr>
      <w:r>
        <w:t>Frame: 1. Diagnóstico del Pipeline</w:t>
      </w:r>
    </w:p>
    <w:p>
      <w:pPr>
        <w:spacing w:after="100"/>
      </w:pPr>
      <w:r>
        <w:rPr>
          <w:b/>
        </w:rPr>
        <w:t>A. Flujo Actual (Sticky Notes horizontales en Miro):</w:t>
      </w:r>
    </w:p>
    <w:p>
      <w:pPr>
        <w:spacing w:after="60"/>
      </w:pPr>
      <w:r>
        <w:t>• [Nota 1 - Azul]: Push / PR a rama main (Branch Protection)</w:t>
      </w:r>
    </w:p>
    <w:p>
      <w:pPr>
        <w:spacing w:after="60"/>
      </w:pPr>
      <w:r>
        <w:t>• [Nota 2 - Azul]: CI Workflow (Linter Ruff + Pytest automatizado)</w:t>
      </w:r>
    </w:p>
    <w:p>
      <w:pPr>
        <w:spacing w:after="60"/>
      </w:pPr>
      <w:r>
        <w:t>• [Nota 3 - Azul]: Merge a main &amp; Creación de Imagen Docker</w:t>
      </w:r>
    </w:p>
    <w:p>
      <w:pPr>
        <w:spacing w:after="60"/>
      </w:pPr>
      <w:r>
        <w:t>• [Nota 4 - Azul]: Publicación en GitHub Container Registry (GHCR)</w:t>
      </w:r>
    </w:p>
    <w:p>
      <w:pPr>
        <w:spacing w:after="120"/>
      </w:pPr>
      <w:r>
        <w:t>• [Nota 5 - Verde]: Auto-Deploy a Render vía Webhook + Verificación de /healthz</w:t>
      </w:r>
    </w:p>
    <w:p>
      <w:pPr>
        <w:spacing w:after="100"/>
      </w:pPr>
      <w:r>
        <w:rPr>
          <w:b/>
        </w:rPr>
        <w:t>B. Código de Colores de Estado:</w:t>
      </w:r>
    </w:p>
    <w:p>
      <w:pPr>
        <w:spacing w:after="60"/>
      </w:pPr>
      <w:r>
        <w:rPr>
          <w:color w:val="16A34A"/>
          <w:b/>
        </w:rPr>
        <w:t>🟢 Ya funciona: </w:t>
      </w:r>
      <w:r>
        <w:t>Tests unitarios, Linter Ruff, Docker Build, GHCR Packages y Endpoint /healthz.</w:t>
      </w:r>
    </w:p>
    <w:p>
      <w:pPr>
        <w:spacing w:after="60"/>
      </w:pPr>
      <w:r>
        <w:rPr>
          <w:color w:val="CA8A04"/>
          <w:b/>
        </w:rPr>
        <w:t>🟡 Parcial / En Configuración: </w:t>
      </w:r>
      <w:r>
        <w:t>Carga de secretos RENDER_DEPLOY_HOOK_URL y CONFIGCAT_SDK_KEY en el entorno de producción.</w:t>
      </w:r>
    </w:p>
    <w:p>
      <w:pPr>
        <w:spacing w:after="200"/>
      </w:pPr>
      <w:r>
        <w:rPr>
          <w:color w:val="DC2626"/>
          <w:b/>
        </w:rPr>
        <w:t>🔴 Resuelto / Cerrado en Taller 3: </w:t>
      </w:r>
      <w:r>
        <w:t>Auto-deploy continuous a Render, SDK de ConfigCat y formalización del DoD.</w:t>
      </w:r>
    </w:p>
    <!-- FRAME 3 -->
    <w:p>
      <w:pPr>
        <w:pStyle w:val="Heading1"/>
        <w:spacing w:before="240" w:after="120"/>
      </w:pPr>
      <w:r>
        <w:t>3. Plantilla: Automatización de Pruebas y Robustez del CI (Bloque 2)</w:t>
      </w:r>
    </w:p>
    <w:p>
      <w:pPr>
        <w:pStyle w:val="Heading2"/>
        <w:spacing w:after="80"/>
      </w:pPr>
      <w:r>
        <w:t>Frame: 2. Suite de Calidad y Pipeline Seguro</w:t>
      </w:r>
    </w:p>
    <w:p>
      <w:pPr>
        <w:spacing w:after="60"/>
      </w:pPr>
      <w:r>
        <w:t>• Mínimo viable de calidad: Linter estático obligatorio (Ruff) + Tests unitarios (Pytest) + Build Docker.</w:t>
      </w:r>
    </w:p>
    <w:p>
      <w:pPr>
        <w:spacing w:after="60"/>
      </w:pPr>
      <w:r>
        <w:t>• Cobertura agregada: 10 pruebas unitarias automáticas cubriendo funciones matemáticas, endpoints de salud (/healthz), servicio ConfigCat y rollout en 3 tickets.</w:t>
      </w:r>
    </w:p>
    <w:p>
      <w:pPr>
        <w:spacing w:after="120"/>
      </w:pPr>
      <w:r>
        <w:rPr>
          <w:b/>
          <w:color w:val="B91C1C"/>
        </w:rPr>
        <w:t>• Acuerdo de Equipo: </w:t>
      </w:r>
      <w:r>
        <w:rPr>
          <w:i/>
        </w:rPr>
        <w:t>«Si el CI está en rojo, no se continúa con nuevas features hasta que vuelva a estar en verde.»</w:t>
      </w:r>
    </w:p>
    <!-- FRAME 4 -->
    <w:p>
      <w:pPr>
        <w:pStyle w:val="Heading1"/>
        <w:spacing w:before="240" w:after="120"/>
      </w:pPr>
      <w:r>
        <w:t>4. Plantilla: Auto-Deploy a Render (Bloque 3)</w:t>
      </w:r>
    </w:p>
    <w:p>
      <w:pPr>
        <w:pStyle w:val="Heading2"/>
        <w:spacing w:after="80"/>
      </w:pPr>
      <w:r>
        <w:t>Frame: 3. Auto-deploy a Render</w:t>
      </w:r>
    </w:p>
    <w:p>
      <w:pPr>
        <w:spacing w:after="100"/>
      </w:pPr>
      <w:r>
        <w:rPr>
          <w:b/>
        </w:rPr>
        <w:t>Checklist de Configuración (Render Blueprint &amp; Actions):</w:t>
      </w:r>
    </w:p>
    <w:p>
      <w:pPr>
        <w:spacing w:after="50"/>
      </w:pPr>
      <w:r>
        <w:t>☑ Repositorio conectado a Render (miweb)</w:t>
      </w:r>
    </w:p>
    <w:p>
      <w:pPr>
        <w:spacing w:after="50"/>
      </w:pPr>
      <w:r>
        <w:t>☑ Branch principal configurada: main</w:t>
      </w:r>
    </w:p>
    <w:p>
      <w:pPr>
        <w:spacing w:after="50"/>
      </w:pPr>
      <w:r>
        <w:t>☑ Auto-Deploy activado en render.yaml</w:t>
      </w:r>
    </w:p>
    <w:p>
      <w:pPr>
        <w:spacing w:after="50"/>
      </w:pPr>
      <w:r>
        <w:t>☑ Build Command: pip install -r requirements.txt</w:t>
      </w:r>
    </w:p>
    <w:p>
      <w:pPr>
        <w:spacing w:after="50"/>
      </w:pPr>
      <w:r>
        <w:t>☑ Start Command: gunicorn --bind 0.0.0.0:$PORT server:app</w:t>
      </w:r>
    </w:p>
    <w:p>
      <w:pPr>
        <w:spacing w:after="50"/>
      </w:pPr>
      <w:r>
        <w:t>☑ Variables de entorno: PORT, PYTHON_VERSION, CONFIGCAT_SDK_KEY</w:t>
      </w:r>
    </w:p>
    <w:p>
      <w:pPr>
        <w:spacing w:after="50"/>
      </w:pPr>
      <w:r>
        <w:t>☑ Health Check Path definido: /healthz (con respuesta 200 OK)</w:t>
      </w:r>
    </w:p>
    <w:p>
      <w:pPr>
        <w:spacing w:after="120"/>
      </w:pPr>
      <w:r>
        <w:t>☑ Disparador automático configurado en GitHub Actions (Deploy Hook)</w:t>
      </w:r>
    </w:p>
    <!-- FRAME 5 -->
    <w:p>
      <w:pPr>
        <w:pStyle w:val="Heading1"/>
        <w:spacing w:before="240" w:after="120"/>
      </w:pPr>
      <w:r>
        <w:t>5. Plantilla: Feature Toggle con ConfigCat (Bloque 4)</w:t>
      </w:r>
    </w:p>
    <w:p>
      <w:pPr>
        <w:pStyle w:val="Heading2"/>
        <w:spacing w:after="80"/>
      </w:pPr>
      <w:r>
        <w:t>Frame: 4. Feature Toggle en Producción (ConfigCat)</w:t>
      </w:r>
    </w:p>
    <w:p>
      <w:pPr>
        <w:spacing w:after="60"/>
      </w:pPr>
      <w:r>
        <w:t>• SDK Integrado: configcat-client en backend Python (configcat_service.py) y endpoint API /api/flags/&lt;flag_key&gt;.</w:t>
      </w:r>
    </w:p>
    <w:p>
      <w:pPr>
        <w:spacing w:after="60"/>
      </w:pPr>
      <w:r>
        <w:t>• Toggle Real: dark_mode_enabled y nueva-funcionalidad-x.</w:t>
      </w:r>
    </w:p>
    <w:p>
      <w:pPr>
        <w:spacing w:after="60"/>
      </w:pPr>
      <w:r>
        <w:t>• Demostración de estados: Toggle OFF (oculta la funcionalidad), Toggle ON (habilita interacción).</w:t>
      </w:r>
    </w:p>
    <w:p>
      <w:pPr>
        <w:spacing w:after="120"/>
      </w:pPr>
      <w:r>
        <w:t>• Permisos de Activación: Product Owner (PO) + acuerdo del equipo en daily/refinement.</w:t>
      </w:r>
    </w:p>
    <!-- FRAME 6 -->
    <w:p>
      <w:pPr>
        <w:pStyle w:val="Heading1"/>
        <w:spacing w:before="240" w:after="120"/>
      </w:pPr>
      <w:r>
        <w:t>6. Plantilla: Definition of Done Final (Bloque 5)</w:t>
      </w:r>
    </w:p>
    <w:p>
      <w:pPr>
        <w:pStyle w:val="Heading2"/>
        <w:spacing w:after="80"/>
      </w:pPr>
      <w:r>
        <w:t>Frame: 5. Definition of Done – Versión Final</w:t>
      </w:r>
    </w:p>
    <w:p>
      <w:pPr>
        <w:spacing w:after="120"/>
      </w:pPr>
      <w:r>
        <w:rPr>
          <w:b/>
        </w:rPr>
        <w:t>Estructura en 3 Columnas Claras de Miro:</w:t>
      </w:r>
    </w:p>
    <!-- Columna 1 -->
    <w:p>
      <w:pPr>
        <w:spacing w:after="40"/>
      </w:pPr>
      <w:r>
        <w:rPr>
          <w:b/>
          <w:color w:val="2563EB"/>
        </w:rPr>
        <w:t>🔹 Columna 1: DoD Técnico</w:t>
      </w:r>
    </w:p>
    <w:p>
      <w:pPr>
        <w:spacing w:after="30"/>
      </w:pPr>
      <w:r>
        <w:t>• Código revisado mediante PR o pair/mob programming.</w:t>
      </w:r>
    </w:p>
    <w:p>
      <w:pPr>
        <w:spacing w:after="30"/>
      </w:pPr>
      <w:r>
        <w:t>• CI verde obligatorio: Tests unitarios + Linter Ruff + Build exitoso.</w:t>
      </w:r>
    </w:p>
    <w:p>
      <w:pPr>
        <w:spacing w:after="30"/>
      </w:pPr>
      <w:r>
        <w:t>• Imagen Docker compilada y publicada en GHCR.</w:t>
      </w:r>
    </w:p>
    <w:p>
      <w:pPr>
        <w:spacing w:after="30"/>
      </w:pPr>
      <w:r>
        <w:t>• Feature Toggle configurado si la funcionalidad no está completa.</w:t>
      </w:r>
    </w:p>
    <w:p>
      <w:pPr>
        <w:spacing w:after="100"/>
      </w:pPr>
      <w:r>
        <w:t>• No se rompe funcionalidad existente (regresión cero).</w:t>
      </w:r>
    </w:p>
    <!-- Columna 2 -->
    <w:p>
      <w:pPr>
        <w:spacing w:after="40"/>
      </w:pPr>
      <w:r>
        <w:rPr>
          <w:b/>
          <w:color w:val="7C3AED"/>
        </w:rPr>
        <w:t>🔹 Columna 2: DoD de Negocio</w:t>
      </w:r>
    </w:p>
    <w:p>
      <w:pPr>
        <w:spacing w:after="30"/>
      </w:pPr>
      <w:r>
        <w:t>• Acceptance Criteria cumplidos y validados.</w:t>
      </w:r>
    </w:p>
    <w:p>
      <w:pPr>
        <w:spacing w:after="30"/>
      </w:pPr>
      <w:r>
        <w:t>• Se puede validar la funcionalidad en el entorno de destino (Staging/Prod).</w:t>
      </w:r>
    </w:p>
    <w:p>
      <w:pPr>
        <w:spacing w:after="100"/>
      </w:pPr>
      <w:r>
        <w:t>• El PO conoce y gestiona el estado del Feature Toggle.</w:t>
      </w:r>
    </w:p>
    <!-- Columna 3 -->
    <w:p>
      <w:pPr>
        <w:spacing w:after="40"/>
      </w:pPr>
      <w:r>
        <w:rPr>
          <w:b/>
          <w:color w:val="059669"/>
        </w:rPr>
        <w:t>🔹 Columna 3: DoD de Despliegue</w:t>
      </w:r>
    </w:p>
    <w:p>
      <w:pPr>
        <w:spacing w:after="30"/>
      </w:pPr>
      <w:r>
        <w:t>• Desplegado automáticamente en Render desde main.</w:t>
      </w:r>
    </w:p>
    <w:p>
      <w:pPr>
        <w:spacing w:after="30"/>
      </w:pPr>
      <w:r>
        <w:t>• Health Check (/healthz) respondiendo 200 OK en producción.</w:t>
      </w:r>
    </w:p>
    <w:p>
      <w:pPr>
        <w:spacing w:after="30"/>
      </w:pPr>
      <w:r>
        <w:t>• Logs y monitoreo básico verificados sin excepciones no controladas.</w:t>
      </w:r>
    </w:p>
    <w:p>
      <w:pPr>
        <w:spacing w:after="160"/>
      </w:pPr>
      <w:r>
        <w:t>• Toggle en el estado acordado (OFF por defecto para código incompleto).</w:t>
      </w:r>
    </w:p>
    <!-- FRAME 7 / CIERRE -->
    <w:p>
      <w:pPr>
        <w:pStyle w:val="Heading1"/>
        <w:spacing w:before="240" w:after="120"/>
      </w:pPr>
      <w:r>
        <w:t>7. Cierre del Taller y Próximos Pasos (Bloque 6)</w:t>
      </w:r>
    </w:p>
    <w:p>
      <w:pPr>
        <w:pStyle w:val="Heading2"/>
        <w:spacing w:after="80"/>
      </w:pPr>
      <w:r>
        <w:t>Frame: 6. Cierre y Compromisos de Fase 1</w:t>
      </w:r>
    </w:p>
    <w:p>
      <w:pPr>
        <w:spacing w:after="60"/>
      </w:pPr>
      <w:r>
        <w:rPr>
          <w:b/>
        </w:rPr>
        <w:t>Pregunta de Reflexión del Equipo: </w:t>
      </w:r>
      <w:r>
        <w:rPr>
          <w:i/>
        </w:rPr>
        <w:t>«A partir de mañana, ¿qué cambia en mi forma de trabajar gracias a este pipeline?»</w:t>
      </w:r>
    </w:p>
    <w:p>
      <w:pPr>
        <w:spacing w:after="60"/>
      </w:pPr>
      <w:r>
        <w:t>1. Monitorear los próximos 5 deploys automáticos a Render.</w:t>
      </w:r>
    </w:p>
    <w:p>
      <w:pPr>
        <w:spacing w:after="60"/>
      </w:pPr>
      <w:r>
        <w:t>2. Crear toggles en ConfigCat para las próximas 2 historias de usuario.</w:t>
      </w:r>
    </w:p>
    <w:p>
      <w:pPr>
        <w:spacing w:after="60"/>
      </w:pPr>
      <w:r>
        <w:t>3. Revisar y auditar el cumplimiento del DoD en la próxima Retrospective.</w:t>
      </w:r>
    </w:p>
    <w:p>
      <w:pPr>
        <w:spacing w:after="120"/>
      </w:pPr>
      <w:r>
        <w:rPr>
          <w:b/>
          <w:color w:val="16A34A"/>
        </w:rPr>
        <w:t>🎉 ¡Checklist de Fase 1 100% Completado y Cerrado!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s-ES"/>
      </w:rPr>
    </w:rPrDefault>
  </w:docDefaults>
  <w:style w:type="paragraph" w:styleId="Title">
    <w:name w:val="Title"/>
    <w:rPr>
      <w:b/>
      <w:color w:val="1E3A8A"/>
      <w:sz w:val="40"/>
    </w:rPr>
  </w:style>
  <w:style w:type="paragraph" w:styleId="Heading1">
    <w:name w:val="heading 1"/>
    <w:rPr>
      <w:b/>
      <w:color w:val="2563EB"/>
      <w:sz w:val="30"/>
    </w:rPr>
  </w:style>
  <w:style w:type="paragraph" w:styleId="Heading2">
    <w:name w:val="heading 2"/>
    <w:rPr>
      <w:b/>
      <w:color w:val="1D4ED8"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