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0F172A"/>
          <w:sz w:val="40"/>
        </w:rPr>
        <w:t>EXPLAINABLE WHO-STYLE DIGITAL TWIN OF HEART RATE VARIABILITY AND COGNITIVE MENTAL LOAD</w:t>
      </w:r>
    </w:p>
    <w:p>
      <w:pPr>
        <w:spacing w:after="320"/>
        <w:jc w:val="center"/>
      </w:pPr>
      <w:r>
        <w:rPr>
          <w:i/>
          <w:color w:val="0284C7"/>
          <w:sz w:val="24"/>
        </w:rPr>
        <w:t>A Psychophysiological In Silico Modeling, Explainable AI (SHAP), and Clinical Decision-Support Framework</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200" w:type="dxa"/>
              <w:right w:w="200" w:type="dxa"/>
            </w:tcMar>
          </w:tcPr>
          <w:p>
            <w:pPr>
              <w:jc w:val="center"/>
            </w:pPr>
            <w:r>
              <w:rPr>
                <w:b/>
                <w:color w:val="0F172A"/>
                <w:sz w:val="22"/>
              </w:rPr>
              <w:t>Lead Developer: Ms. Taniya Mondal, B.Tech</w:t>
              <w:br/>
            </w:r>
            <w:r>
              <w:rPr>
                <w:color w:val="475569"/>
                <w:sz w:val="19"/>
              </w:rPr>
              <w:t>Framework Version: 1.0  |  Status: Production-Grade Release</w:t>
              <w:br/>
              <w:t>Benchmark Dataset: Auditya Sutarto Heart Rate Variability &amp; Cognitive Mental Load (Kaggle)</w:t>
              <w:br/>
              <w:t>Clinical Reference Standards: World Health Organization (WHO) &amp; Task Force of ESC/NASPE</w:t>
            </w:r>
          </w:p>
        </w:tc>
      </w:tr>
    </w:tbl>
    <w:p>
      <w:pPr>
        <w:spacing w:after="280"/>
      </w:pPr>
    </w:p>
    <w:p>
      <w:pPr>
        <w:pStyle w:val="Heading1"/>
        <w:spacing w:before="360" w:after="160"/>
      </w:pPr>
      <w:r>
        <w:rPr>
          <w:b/>
          <w:color w:val="0F172A"/>
          <w:sz w:val="34"/>
        </w:rPr>
        <w:t>1. Executive Summary &amp; Project Mission</w:t>
      </w:r>
    </w:p>
    <w:p>
      <w:r>
        <w:t>Modern occupational, clinical, and high-consequence operational environments (such as aviation, surgery, and emergency command) place unprecedented cognitive mental demands on human operators. Chronic or acute cognitive mental overload suppresses the autonomic nervous system's regulatory reserve, leading to operational failures, acute cardiac dysregulation, and long-term burnout. In alignment with the World Health Organization (WHO) Guidelines on Mental Health at Work (2022) and the WHO Global Strategy on Digital Health 2020-2025, this project delivers a clinically-grounded, highly explainable in silico Digital Twin of Heart Rate Variability (HRV) and Cognitive Mental Load.</w:t>
      </w:r>
    </w:p>
    <w:p>
      <w:r>
        <w:t>Developed by Ms. Taniya Mondal, B.Tech (Version 1.0), this framework ingests continuous biotelemetry from the Auditya Sutarto Kaggle dataset (30 human participants, 60 multi-task trials) to continuously model autonomic cardiovascular equilibrium. It employs TreeSHAP (SHapley Additive exPlanations) to ensure transparent, glass-box attribution of every workload prediction, and introduces an in silico Counterfactual 'What-If' Simulation Engine that computes the exact therapeutic benefit of clinical interventions (such as 0.1 Hz resonant paced breathing and micro-breaks) prior to real-world application.</w:t>
      </w:r>
    </w:p>
    <w:p>
      <w:pPr>
        <w:pStyle w:val="Heading1"/>
        <w:spacing w:before="360" w:after="160"/>
      </w:pPr>
      <w:r>
        <w:rPr>
          <w:b/>
          <w:color w:val="0F172A"/>
          <w:sz w:val="34"/>
        </w:rPr>
        <w:t>2. Dataset Architecture &amp; Artifact Cleansing</w:t>
      </w:r>
    </w:p>
    <w:p>
      <w:r>
        <w:t>The empirical substrate for this Digital Twin is derived from the open-access Kaggle benchmark dataset: 'Heart Rate Variability and Cognitive Mental Load' authored by Dr. Auditya Sutarto (Department of Industrial Engineering, Universitas Qomaruddin). The dataset records 30 healthy adult participants undergoing dual cognitive workload trials while instrumented with cardiovascular telemetry sensors and subsequently completing the NASA Task Load Index (NASA-TLX).</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F172A"/>
            <w:tcMar>
              <w:top w:w="120" w:type="dxa"/>
              <w:bottom w:w="120" w:type="dxa"/>
              <w:left w:w="140" w:type="dxa"/>
              <w:right w:w="140" w:type="dxa"/>
            </w:tcMar>
          </w:tcPr>
          <w:p>
            <w:pPr>
              <w:jc w:val="left"/>
            </w:pPr>
            <w:r>
              <w:rPr>
                <w:b/>
                <w:color w:val="FFFFFF"/>
                <w:sz w:val="19"/>
              </w:rPr>
              <w:t>Feature Column</w:t>
            </w:r>
          </w:p>
        </w:tc>
        <w:tc>
          <w:tcPr>
            <w:tcW w:type="dxa" w:w="2880"/>
            <w:shd w:fill="0F172A"/>
            <w:tcMar>
              <w:top w:w="120" w:type="dxa"/>
              <w:bottom w:w="120" w:type="dxa"/>
              <w:left w:w="140" w:type="dxa"/>
              <w:right w:w="140" w:type="dxa"/>
            </w:tcMar>
          </w:tcPr>
          <w:p>
            <w:pPr>
              <w:jc w:val="left"/>
            </w:pPr>
            <w:r>
              <w:rPr>
                <w:b/>
                <w:color w:val="FFFFFF"/>
                <w:sz w:val="19"/>
              </w:rPr>
              <w:t>Biomedical Interpretation</w:t>
            </w:r>
          </w:p>
        </w:tc>
        <w:tc>
          <w:tcPr>
            <w:tcW w:type="dxa" w:w="2160"/>
            <w:shd w:fill="0F172A"/>
            <w:tcMar>
              <w:top w:w="120" w:type="dxa"/>
              <w:bottom w:w="120" w:type="dxa"/>
              <w:left w:w="140" w:type="dxa"/>
              <w:right w:w="140" w:type="dxa"/>
            </w:tcMar>
          </w:tcPr>
          <w:p>
            <w:pPr>
              <w:jc w:val="left"/>
            </w:pPr>
            <w:r>
              <w:rPr>
                <w:b/>
                <w:color w:val="FFFFFF"/>
                <w:sz w:val="19"/>
              </w:rPr>
              <w:t>Physiological Domain</w:t>
            </w:r>
          </w:p>
        </w:tc>
        <w:tc>
          <w:tcPr>
            <w:tcW w:type="dxa" w:w="1728"/>
            <w:shd w:fill="0F172A"/>
            <w:tcMar>
              <w:top w:w="120" w:type="dxa"/>
              <w:bottom w:w="120" w:type="dxa"/>
              <w:left w:w="140" w:type="dxa"/>
              <w:right w:w="140" w:type="dxa"/>
            </w:tcMar>
          </w:tcPr>
          <w:p>
            <w:pPr>
              <w:jc w:val="left"/>
            </w:pPr>
            <w:r>
              <w:rPr>
                <w:b/>
                <w:color w:val="FFFFFF"/>
                <w:sz w:val="19"/>
              </w:rPr>
              <w:t>Units</w:t>
            </w:r>
          </w:p>
        </w:tc>
        <w:tc>
          <w:tcPr>
            <w:tcW w:type="dxa" w:w="1728"/>
            <w:shd w:fill="0F172A"/>
            <w:tcMar>
              <w:top w:w="120" w:type="dxa"/>
              <w:bottom w:w="120" w:type="dxa"/>
              <w:left w:w="140" w:type="dxa"/>
              <w:right w:w="140" w:type="dxa"/>
            </w:tcMar>
          </w:tcPr>
          <w:p>
            <w:pPr>
              <w:jc w:val="left"/>
            </w:pPr>
            <w:r>
              <w:rPr>
                <w:b/>
                <w:color w:val="FFFFFF"/>
                <w:sz w:val="19"/>
              </w:rPr>
              <w:t>Cohort Mean ± SD</w:t>
            </w:r>
          </w:p>
        </w:tc>
      </w:tr>
      <w:tr>
        <w:tc>
          <w:tcPr>
            <w:tcW w:type="dxa" w:w="1584"/>
            <w:shd w:fill="FFFFFF"/>
            <w:tcMar>
              <w:top w:w="80" w:type="dxa"/>
              <w:bottom w:w="80" w:type="dxa"/>
              <w:left w:w="120" w:type="dxa"/>
              <w:right w:w="120" w:type="dxa"/>
            </w:tcMar>
          </w:tcPr>
          <w:p>
            <w:pPr>
              <w:jc w:val="left"/>
            </w:pPr>
            <w:r>
              <w:rPr>
                <w:color w:val="334155"/>
                <w:sz w:val="18"/>
              </w:rPr>
              <w:t>participant</w:t>
            </w:r>
          </w:p>
        </w:tc>
        <w:tc>
          <w:tcPr>
            <w:tcW w:type="dxa" w:w="2880"/>
            <w:shd w:fill="FFFFFF"/>
            <w:tcMar>
              <w:top w:w="80" w:type="dxa"/>
              <w:bottom w:w="80" w:type="dxa"/>
              <w:left w:w="120" w:type="dxa"/>
              <w:right w:w="120" w:type="dxa"/>
            </w:tcMar>
          </w:tcPr>
          <w:p>
            <w:pPr>
              <w:jc w:val="left"/>
            </w:pPr>
            <w:r>
              <w:rPr>
                <w:color w:val="334155"/>
                <w:sz w:val="18"/>
              </w:rPr>
              <w:t>Participant Identifier</w:t>
            </w:r>
          </w:p>
        </w:tc>
        <w:tc>
          <w:tcPr>
            <w:tcW w:type="dxa" w:w="2160"/>
            <w:shd w:fill="FFFFFF"/>
            <w:tcMar>
              <w:top w:w="80" w:type="dxa"/>
              <w:bottom w:w="80" w:type="dxa"/>
              <w:left w:w="120" w:type="dxa"/>
              <w:right w:w="120" w:type="dxa"/>
            </w:tcMar>
          </w:tcPr>
          <w:p>
            <w:pPr>
              <w:jc w:val="left"/>
            </w:pPr>
            <w:r>
              <w:rPr>
                <w:color w:val="334155"/>
                <w:sz w:val="18"/>
              </w:rPr>
              <w:t>Subject Demographics</w:t>
            </w:r>
          </w:p>
        </w:tc>
        <w:tc>
          <w:tcPr>
            <w:tcW w:type="dxa" w:w="1728"/>
            <w:shd w:fill="FFFFFF"/>
            <w:tcMar>
              <w:top w:w="80" w:type="dxa"/>
              <w:bottom w:w="80" w:type="dxa"/>
              <w:left w:w="120" w:type="dxa"/>
              <w:right w:w="120" w:type="dxa"/>
            </w:tcMar>
          </w:tcPr>
          <w:p>
            <w:pPr>
              <w:jc w:val="left"/>
            </w:pPr>
            <w:r>
              <w:rPr>
                <w:color w:val="334155"/>
                <w:sz w:val="18"/>
              </w:rPr>
              <w:t>Integer [1 - 30]</w:t>
            </w:r>
          </w:p>
        </w:tc>
        <w:tc>
          <w:tcPr>
            <w:tcW w:type="dxa" w:w="1728"/>
            <w:shd w:fill="FFFFFF"/>
            <w:tcMar>
              <w:top w:w="80" w:type="dxa"/>
              <w:bottom w:w="80" w:type="dxa"/>
              <w:left w:w="120" w:type="dxa"/>
              <w:right w:w="120" w:type="dxa"/>
            </w:tcMar>
          </w:tcPr>
          <w:p>
            <w:pPr>
              <w:jc w:val="left"/>
            </w:pPr>
            <w:r>
              <w:rPr>
                <w:color w:val="334155"/>
                <w:sz w:val="18"/>
              </w:rPr>
              <w:t>30 Individuals</w:t>
            </w:r>
          </w:p>
        </w:tc>
      </w:tr>
      <w:tr>
        <w:tc>
          <w:tcPr>
            <w:tcW w:type="dxa" w:w="1584"/>
            <w:shd w:fill="F8FAFC"/>
            <w:tcMar>
              <w:top w:w="80" w:type="dxa"/>
              <w:bottom w:w="80" w:type="dxa"/>
              <w:left w:w="120" w:type="dxa"/>
              <w:right w:w="120" w:type="dxa"/>
            </w:tcMar>
          </w:tcPr>
          <w:p>
            <w:pPr>
              <w:jc w:val="left"/>
            </w:pPr>
            <w:r>
              <w:rPr>
                <w:color w:val="334155"/>
                <w:sz w:val="18"/>
              </w:rPr>
              <w:t>trial</w:t>
            </w:r>
          </w:p>
        </w:tc>
        <w:tc>
          <w:tcPr>
            <w:tcW w:type="dxa" w:w="2880"/>
            <w:shd w:fill="F8FAFC"/>
            <w:tcMar>
              <w:top w:w="80" w:type="dxa"/>
              <w:bottom w:w="80" w:type="dxa"/>
              <w:left w:w="120" w:type="dxa"/>
              <w:right w:w="120" w:type="dxa"/>
            </w:tcMar>
          </w:tcPr>
          <w:p>
            <w:pPr>
              <w:jc w:val="left"/>
            </w:pPr>
            <w:r>
              <w:rPr>
                <w:color w:val="334155"/>
                <w:sz w:val="18"/>
              </w:rPr>
              <w:t>Experimental Workload Trial</w:t>
            </w:r>
          </w:p>
        </w:tc>
        <w:tc>
          <w:tcPr>
            <w:tcW w:type="dxa" w:w="2160"/>
            <w:shd w:fill="F8FAFC"/>
            <w:tcMar>
              <w:top w:w="80" w:type="dxa"/>
              <w:bottom w:w="80" w:type="dxa"/>
              <w:left w:w="120" w:type="dxa"/>
              <w:right w:w="120" w:type="dxa"/>
            </w:tcMar>
          </w:tcPr>
          <w:p>
            <w:pPr>
              <w:jc w:val="left"/>
            </w:pPr>
            <w:r>
              <w:rPr>
                <w:color w:val="334155"/>
                <w:sz w:val="18"/>
              </w:rPr>
              <w:t>Experimental Protocol</w:t>
            </w:r>
          </w:p>
        </w:tc>
        <w:tc>
          <w:tcPr>
            <w:tcW w:type="dxa" w:w="1728"/>
            <w:shd w:fill="F8FAFC"/>
            <w:tcMar>
              <w:top w:w="80" w:type="dxa"/>
              <w:bottom w:w="80" w:type="dxa"/>
              <w:left w:w="120" w:type="dxa"/>
              <w:right w:w="120" w:type="dxa"/>
            </w:tcMar>
          </w:tcPr>
          <w:p>
            <w:pPr>
              <w:jc w:val="left"/>
            </w:pPr>
            <w:r>
              <w:rPr>
                <w:color w:val="334155"/>
                <w:sz w:val="18"/>
              </w:rPr>
              <w:t>1 (High) or 2 (Alt)</w:t>
            </w:r>
          </w:p>
        </w:tc>
        <w:tc>
          <w:tcPr>
            <w:tcW w:type="dxa" w:w="1728"/>
            <w:shd w:fill="F8FAFC"/>
            <w:tcMar>
              <w:top w:w="80" w:type="dxa"/>
              <w:bottom w:w="80" w:type="dxa"/>
              <w:left w:w="120" w:type="dxa"/>
              <w:right w:w="120" w:type="dxa"/>
            </w:tcMar>
          </w:tcPr>
          <w:p>
            <w:pPr>
              <w:jc w:val="left"/>
            </w:pPr>
            <w:r>
              <w:rPr>
                <w:color w:val="334155"/>
                <w:sz w:val="18"/>
              </w:rPr>
              <w:t>2 Trials / Subject</w:t>
            </w:r>
          </w:p>
        </w:tc>
      </w:tr>
      <w:tr>
        <w:tc>
          <w:tcPr>
            <w:tcW w:type="dxa" w:w="1584"/>
            <w:shd w:fill="FFFFFF"/>
            <w:tcMar>
              <w:top w:w="80" w:type="dxa"/>
              <w:bottom w:w="80" w:type="dxa"/>
              <w:left w:w="120" w:type="dxa"/>
              <w:right w:w="120" w:type="dxa"/>
            </w:tcMar>
          </w:tcPr>
          <w:p>
            <w:pPr>
              <w:jc w:val="left"/>
            </w:pPr>
            <w:r>
              <w:rPr>
                <w:color w:val="334155"/>
                <w:sz w:val="18"/>
              </w:rPr>
              <w:t>hr</w:t>
            </w:r>
          </w:p>
        </w:tc>
        <w:tc>
          <w:tcPr>
            <w:tcW w:type="dxa" w:w="2880"/>
            <w:shd w:fill="FFFFFF"/>
            <w:tcMar>
              <w:top w:w="80" w:type="dxa"/>
              <w:bottom w:w="80" w:type="dxa"/>
              <w:left w:w="120" w:type="dxa"/>
              <w:right w:w="120" w:type="dxa"/>
            </w:tcMar>
          </w:tcPr>
          <w:p>
            <w:pPr>
              <w:jc w:val="left"/>
            </w:pPr>
            <w:r>
              <w:rPr>
                <w:color w:val="334155"/>
                <w:sz w:val="18"/>
              </w:rPr>
              <w:t>Mean Heart Rate</w:t>
            </w:r>
          </w:p>
        </w:tc>
        <w:tc>
          <w:tcPr>
            <w:tcW w:type="dxa" w:w="2160"/>
            <w:shd w:fill="FFFFFF"/>
            <w:tcMar>
              <w:top w:w="80" w:type="dxa"/>
              <w:bottom w:w="80" w:type="dxa"/>
              <w:left w:w="120" w:type="dxa"/>
              <w:right w:w="120" w:type="dxa"/>
            </w:tcMar>
          </w:tcPr>
          <w:p>
            <w:pPr>
              <w:jc w:val="left"/>
            </w:pPr>
            <w:r>
              <w:rPr>
                <w:color w:val="334155"/>
                <w:sz w:val="18"/>
              </w:rPr>
              <w:t>Chronotropic State</w:t>
            </w:r>
          </w:p>
        </w:tc>
        <w:tc>
          <w:tcPr>
            <w:tcW w:type="dxa" w:w="1728"/>
            <w:shd w:fill="FFFFFF"/>
            <w:tcMar>
              <w:top w:w="80" w:type="dxa"/>
              <w:bottom w:w="80" w:type="dxa"/>
              <w:left w:w="120" w:type="dxa"/>
              <w:right w:w="120" w:type="dxa"/>
            </w:tcMar>
          </w:tcPr>
          <w:p>
            <w:pPr>
              <w:jc w:val="left"/>
            </w:pPr>
            <w:r>
              <w:rPr>
                <w:color w:val="334155"/>
                <w:sz w:val="18"/>
              </w:rPr>
              <w:t>Beats per Minute (bpm)</w:t>
            </w:r>
          </w:p>
        </w:tc>
        <w:tc>
          <w:tcPr>
            <w:tcW w:type="dxa" w:w="1728"/>
            <w:shd w:fill="FFFFFF"/>
            <w:tcMar>
              <w:top w:w="80" w:type="dxa"/>
              <w:bottom w:w="80" w:type="dxa"/>
              <w:left w:w="120" w:type="dxa"/>
              <w:right w:w="120" w:type="dxa"/>
            </w:tcMar>
          </w:tcPr>
          <w:p>
            <w:pPr>
              <w:jc w:val="left"/>
            </w:pPr>
            <w:r>
              <w:rPr>
                <w:color w:val="334155"/>
                <w:sz w:val="18"/>
              </w:rPr>
              <w:t>87.63 ± 12.04 bpm</w:t>
            </w:r>
          </w:p>
        </w:tc>
      </w:tr>
      <w:tr>
        <w:tc>
          <w:tcPr>
            <w:tcW w:type="dxa" w:w="1584"/>
            <w:shd w:fill="F8FAFC"/>
            <w:tcMar>
              <w:top w:w="80" w:type="dxa"/>
              <w:bottom w:w="80" w:type="dxa"/>
              <w:left w:w="120" w:type="dxa"/>
              <w:right w:w="120" w:type="dxa"/>
            </w:tcMar>
          </w:tcPr>
          <w:p>
            <w:pPr>
              <w:jc w:val="left"/>
            </w:pPr>
            <w:r>
              <w:rPr>
                <w:color w:val="334155"/>
                <w:sz w:val="18"/>
              </w:rPr>
              <w:t>sdnn</w:t>
            </w:r>
          </w:p>
        </w:tc>
        <w:tc>
          <w:tcPr>
            <w:tcW w:type="dxa" w:w="2880"/>
            <w:shd w:fill="F8FAFC"/>
            <w:tcMar>
              <w:top w:w="80" w:type="dxa"/>
              <w:bottom w:w="80" w:type="dxa"/>
              <w:left w:w="120" w:type="dxa"/>
              <w:right w:w="120" w:type="dxa"/>
            </w:tcMar>
          </w:tcPr>
          <w:p>
            <w:pPr>
              <w:jc w:val="left"/>
            </w:pPr>
            <w:r>
              <w:rPr>
                <w:color w:val="334155"/>
                <w:sz w:val="18"/>
              </w:rPr>
              <w:t>Standard Deviation of NN Intervals</w:t>
            </w:r>
          </w:p>
        </w:tc>
        <w:tc>
          <w:tcPr>
            <w:tcW w:type="dxa" w:w="2160"/>
            <w:shd w:fill="F8FAFC"/>
            <w:tcMar>
              <w:top w:w="80" w:type="dxa"/>
              <w:bottom w:w="80" w:type="dxa"/>
              <w:left w:w="120" w:type="dxa"/>
              <w:right w:w="120" w:type="dxa"/>
            </w:tcMar>
          </w:tcPr>
          <w:p>
            <w:pPr>
              <w:jc w:val="left"/>
            </w:pPr>
            <w:r>
              <w:rPr>
                <w:color w:val="334155"/>
                <w:sz w:val="18"/>
              </w:rPr>
              <w:t>Overall Autonomic Flexibility</w:t>
            </w:r>
          </w:p>
        </w:tc>
        <w:tc>
          <w:tcPr>
            <w:tcW w:type="dxa" w:w="1728"/>
            <w:shd w:fill="F8FAFC"/>
            <w:tcMar>
              <w:top w:w="80" w:type="dxa"/>
              <w:bottom w:w="80" w:type="dxa"/>
              <w:left w:w="120" w:type="dxa"/>
              <w:right w:w="120" w:type="dxa"/>
            </w:tcMar>
          </w:tcPr>
          <w:p>
            <w:pPr>
              <w:jc w:val="left"/>
            </w:pPr>
            <w:r>
              <w:rPr>
                <w:color w:val="334155"/>
                <w:sz w:val="18"/>
              </w:rPr>
              <w:t>Milliseconds (ms)</w:t>
            </w:r>
          </w:p>
        </w:tc>
        <w:tc>
          <w:tcPr>
            <w:tcW w:type="dxa" w:w="1728"/>
            <w:shd w:fill="F8FAFC"/>
            <w:tcMar>
              <w:top w:w="80" w:type="dxa"/>
              <w:bottom w:w="80" w:type="dxa"/>
              <w:left w:w="120" w:type="dxa"/>
              <w:right w:w="120" w:type="dxa"/>
            </w:tcMar>
          </w:tcPr>
          <w:p>
            <w:pPr>
              <w:jc w:val="left"/>
            </w:pPr>
            <w:r>
              <w:rPr>
                <w:color w:val="334155"/>
                <w:sz w:val="18"/>
              </w:rPr>
              <w:t>33.03 ± 13.91 ms</w:t>
            </w:r>
          </w:p>
        </w:tc>
      </w:tr>
      <w:tr>
        <w:tc>
          <w:tcPr>
            <w:tcW w:type="dxa" w:w="1584"/>
            <w:shd w:fill="FFFFFF"/>
            <w:tcMar>
              <w:top w:w="80" w:type="dxa"/>
              <w:bottom w:w="80" w:type="dxa"/>
              <w:left w:w="120" w:type="dxa"/>
              <w:right w:w="120" w:type="dxa"/>
            </w:tcMar>
          </w:tcPr>
          <w:p>
            <w:pPr>
              <w:jc w:val="left"/>
            </w:pPr>
            <w:r>
              <w:rPr>
                <w:color w:val="334155"/>
                <w:sz w:val="18"/>
              </w:rPr>
              <w:t>rmssd</w:t>
            </w:r>
          </w:p>
        </w:tc>
        <w:tc>
          <w:tcPr>
            <w:tcW w:type="dxa" w:w="2880"/>
            <w:shd w:fill="FFFFFF"/>
            <w:tcMar>
              <w:top w:w="80" w:type="dxa"/>
              <w:bottom w:w="80" w:type="dxa"/>
              <w:left w:w="120" w:type="dxa"/>
              <w:right w:w="120" w:type="dxa"/>
            </w:tcMar>
          </w:tcPr>
          <w:p>
            <w:pPr>
              <w:jc w:val="left"/>
            </w:pPr>
            <w:r>
              <w:rPr>
                <w:color w:val="334155"/>
                <w:sz w:val="18"/>
              </w:rPr>
              <w:t>Root Mean Square Successive Diffs</w:t>
            </w:r>
          </w:p>
        </w:tc>
        <w:tc>
          <w:tcPr>
            <w:tcW w:type="dxa" w:w="2160"/>
            <w:shd w:fill="FFFFFF"/>
            <w:tcMar>
              <w:top w:w="80" w:type="dxa"/>
              <w:bottom w:w="80" w:type="dxa"/>
              <w:left w:w="120" w:type="dxa"/>
              <w:right w:w="120" w:type="dxa"/>
            </w:tcMar>
          </w:tcPr>
          <w:p>
            <w:pPr>
              <w:jc w:val="left"/>
            </w:pPr>
            <w:r>
              <w:rPr>
                <w:color w:val="334155"/>
                <w:sz w:val="18"/>
              </w:rPr>
              <w:t>Vagal Parasympathetic Tone</w:t>
            </w:r>
          </w:p>
        </w:tc>
        <w:tc>
          <w:tcPr>
            <w:tcW w:type="dxa" w:w="1728"/>
            <w:shd w:fill="FFFFFF"/>
            <w:tcMar>
              <w:top w:w="80" w:type="dxa"/>
              <w:bottom w:w="80" w:type="dxa"/>
              <w:left w:w="120" w:type="dxa"/>
              <w:right w:w="120" w:type="dxa"/>
            </w:tcMar>
          </w:tcPr>
          <w:p>
            <w:pPr>
              <w:jc w:val="left"/>
            </w:pPr>
            <w:r>
              <w:rPr>
                <w:color w:val="334155"/>
                <w:sz w:val="18"/>
              </w:rPr>
              <w:t>Milliseconds (ms)</w:t>
            </w:r>
          </w:p>
        </w:tc>
        <w:tc>
          <w:tcPr>
            <w:tcW w:type="dxa" w:w="1728"/>
            <w:shd w:fill="FFFFFF"/>
            <w:tcMar>
              <w:top w:w="80" w:type="dxa"/>
              <w:bottom w:w="80" w:type="dxa"/>
              <w:left w:w="120" w:type="dxa"/>
              <w:right w:w="120" w:type="dxa"/>
            </w:tcMar>
          </w:tcPr>
          <w:p>
            <w:pPr>
              <w:jc w:val="left"/>
            </w:pPr>
            <w:r>
              <w:rPr>
                <w:color w:val="334155"/>
                <w:sz w:val="18"/>
              </w:rPr>
              <w:t>33.24 ± 19.33 ms</w:t>
            </w:r>
          </w:p>
        </w:tc>
      </w:tr>
      <w:tr>
        <w:tc>
          <w:tcPr>
            <w:tcW w:type="dxa" w:w="1584"/>
            <w:shd w:fill="F8FAFC"/>
            <w:tcMar>
              <w:top w:w="80" w:type="dxa"/>
              <w:bottom w:w="80" w:type="dxa"/>
              <w:left w:w="120" w:type="dxa"/>
              <w:right w:w="120" w:type="dxa"/>
            </w:tcMar>
          </w:tcPr>
          <w:p>
            <w:pPr>
              <w:jc w:val="left"/>
            </w:pPr>
            <w:r>
              <w:rPr>
                <w:color w:val="334155"/>
                <w:sz w:val="18"/>
              </w:rPr>
              <w:t>lf</w:t>
            </w:r>
          </w:p>
        </w:tc>
        <w:tc>
          <w:tcPr>
            <w:tcW w:type="dxa" w:w="2880"/>
            <w:shd w:fill="F8FAFC"/>
            <w:tcMar>
              <w:top w:w="80" w:type="dxa"/>
              <w:bottom w:w="80" w:type="dxa"/>
              <w:left w:w="120" w:type="dxa"/>
              <w:right w:w="120" w:type="dxa"/>
            </w:tcMar>
          </w:tcPr>
          <w:p>
            <w:pPr>
              <w:jc w:val="left"/>
            </w:pPr>
            <w:r>
              <w:rPr>
                <w:color w:val="334155"/>
                <w:sz w:val="18"/>
              </w:rPr>
              <w:t>Low-Frequency Spectral Power</w:t>
            </w:r>
          </w:p>
        </w:tc>
        <w:tc>
          <w:tcPr>
            <w:tcW w:type="dxa" w:w="2160"/>
            <w:shd w:fill="F8FAFC"/>
            <w:tcMar>
              <w:top w:w="80" w:type="dxa"/>
              <w:bottom w:w="80" w:type="dxa"/>
              <w:left w:w="120" w:type="dxa"/>
              <w:right w:w="120" w:type="dxa"/>
            </w:tcMar>
          </w:tcPr>
          <w:p>
            <w:pPr>
              <w:jc w:val="left"/>
            </w:pPr>
            <w:r>
              <w:rPr>
                <w:color w:val="334155"/>
                <w:sz w:val="18"/>
              </w:rPr>
              <w:t>Sympatho-Vagal Baroreflex</w:t>
            </w:r>
          </w:p>
        </w:tc>
        <w:tc>
          <w:tcPr>
            <w:tcW w:type="dxa" w:w="1728"/>
            <w:shd w:fill="F8FAFC"/>
            <w:tcMar>
              <w:top w:w="80" w:type="dxa"/>
              <w:bottom w:w="80" w:type="dxa"/>
              <w:left w:w="120" w:type="dxa"/>
              <w:right w:w="120" w:type="dxa"/>
            </w:tcMar>
          </w:tcPr>
          <w:p>
            <w:pPr>
              <w:jc w:val="left"/>
            </w:pPr>
            <w:r>
              <w:rPr>
                <w:color w:val="334155"/>
                <w:sz w:val="18"/>
              </w:rPr>
              <w:t>% (Normalized Units)</w:t>
            </w:r>
          </w:p>
        </w:tc>
        <w:tc>
          <w:tcPr>
            <w:tcW w:type="dxa" w:w="1728"/>
            <w:shd w:fill="F8FAFC"/>
            <w:tcMar>
              <w:top w:w="80" w:type="dxa"/>
              <w:bottom w:w="80" w:type="dxa"/>
              <w:left w:w="120" w:type="dxa"/>
              <w:right w:w="120" w:type="dxa"/>
            </w:tcMar>
          </w:tcPr>
          <w:p>
            <w:pPr>
              <w:jc w:val="left"/>
            </w:pPr>
            <w:r>
              <w:rPr>
                <w:color w:val="334155"/>
                <w:sz w:val="18"/>
              </w:rPr>
              <w:t>54.91 ± 16.48 %</w:t>
            </w:r>
          </w:p>
        </w:tc>
      </w:tr>
      <w:tr>
        <w:tc>
          <w:tcPr>
            <w:tcW w:type="dxa" w:w="1584"/>
            <w:shd w:fill="FFFFFF"/>
            <w:tcMar>
              <w:top w:w="80" w:type="dxa"/>
              <w:bottom w:w="80" w:type="dxa"/>
              <w:left w:w="120" w:type="dxa"/>
              <w:right w:w="120" w:type="dxa"/>
            </w:tcMar>
          </w:tcPr>
          <w:p>
            <w:pPr>
              <w:jc w:val="left"/>
            </w:pPr>
            <w:r>
              <w:rPr>
                <w:color w:val="334155"/>
                <w:sz w:val="18"/>
              </w:rPr>
              <w:t>hf</w:t>
            </w:r>
          </w:p>
        </w:tc>
        <w:tc>
          <w:tcPr>
            <w:tcW w:type="dxa" w:w="2880"/>
            <w:shd w:fill="FFFFFF"/>
            <w:tcMar>
              <w:top w:w="80" w:type="dxa"/>
              <w:bottom w:w="80" w:type="dxa"/>
              <w:left w:w="120" w:type="dxa"/>
              <w:right w:w="120" w:type="dxa"/>
            </w:tcMar>
          </w:tcPr>
          <w:p>
            <w:pPr>
              <w:jc w:val="left"/>
            </w:pPr>
            <w:r>
              <w:rPr>
                <w:color w:val="334155"/>
                <w:sz w:val="18"/>
              </w:rPr>
              <w:t>High-Frequency Spectral Power</w:t>
            </w:r>
          </w:p>
        </w:tc>
        <w:tc>
          <w:tcPr>
            <w:tcW w:type="dxa" w:w="2160"/>
            <w:shd w:fill="FFFFFF"/>
            <w:tcMar>
              <w:top w:w="80" w:type="dxa"/>
              <w:bottom w:w="80" w:type="dxa"/>
              <w:left w:w="120" w:type="dxa"/>
              <w:right w:w="120" w:type="dxa"/>
            </w:tcMar>
          </w:tcPr>
          <w:p>
            <w:pPr>
              <w:jc w:val="left"/>
            </w:pPr>
            <w:r>
              <w:rPr>
                <w:color w:val="334155"/>
                <w:sz w:val="18"/>
              </w:rPr>
              <w:t>Vagal Respiratory Sinus Arrhythmia</w:t>
            </w:r>
          </w:p>
        </w:tc>
        <w:tc>
          <w:tcPr>
            <w:tcW w:type="dxa" w:w="1728"/>
            <w:shd w:fill="FFFFFF"/>
            <w:tcMar>
              <w:top w:w="80" w:type="dxa"/>
              <w:bottom w:w="80" w:type="dxa"/>
              <w:left w:w="120" w:type="dxa"/>
              <w:right w:w="120" w:type="dxa"/>
            </w:tcMar>
          </w:tcPr>
          <w:p>
            <w:pPr>
              <w:jc w:val="left"/>
            </w:pPr>
            <w:r>
              <w:rPr>
                <w:color w:val="334155"/>
                <w:sz w:val="18"/>
              </w:rPr>
              <w:t>% (Normalized Units)</w:t>
            </w:r>
          </w:p>
        </w:tc>
        <w:tc>
          <w:tcPr>
            <w:tcW w:type="dxa" w:w="1728"/>
            <w:shd w:fill="FFFFFF"/>
            <w:tcMar>
              <w:top w:w="80" w:type="dxa"/>
              <w:bottom w:w="80" w:type="dxa"/>
              <w:left w:w="120" w:type="dxa"/>
              <w:right w:w="120" w:type="dxa"/>
            </w:tcMar>
          </w:tcPr>
          <w:p>
            <w:pPr>
              <w:jc w:val="left"/>
            </w:pPr>
            <w:r>
              <w:rPr>
                <w:color w:val="334155"/>
                <w:sz w:val="18"/>
              </w:rPr>
              <w:t>45.09 ± 16.48 %</w:t>
            </w:r>
          </w:p>
        </w:tc>
      </w:tr>
      <w:tr>
        <w:tc>
          <w:tcPr>
            <w:tcW w:type="dxa" w:w="1584"/>
            <w:shd w:fill="F8FAFC"/>
            <w:tcMar>
              <w:top w:w="80" w:type="dxa"/>
              <w:bottom w:w="80" w:type="dxa"/>
              <w:left w:w="120" w:type="dxa"/>
              <w:right w:w="120" w:type="dxa"/>
            </w:tcMar>
          </w:tcPr>
          <w:p>
            <w:pPr>
              <w:jc w:val="left"/>
            </w:pPr>
            <w:r>
              <w:rPr>
                <w:color w:val="334155"/>
                <w:sz w:val="18"/>
              </w:rPr>
              <w:t>lfhf</w:t>
            </w:r>
          </w:p>
        </w:tc>
        <w:tc>
          <w:tcPr>
            <w:tcW w:type="dxa" w:w="2880"/>
            <w:shd w:fill="F8FAFC"/>
            <w:tcMar>
              <w:top w:w="80" w:type="dxa"/>
              <w:bottom w:w="80" w:type="dxa"/>
              <w:left w:w="120" w:type="dxa"/>
              <w:right w:w="120" w:type="dxa"/>
            </w:tcMar>
          </w:tcPr>
          <w:p>
            <w:pPr>
              <w:jc w:val="left"/>
            </w:pPr>
            <w:r>
              <w:rPr>
                <w:color w:val="334155"/>
                <w:sz w:val="18"/>
              </w:rPr>
              <w:t>LF to HF Power Ratio</w:t>
            </w:r>
          </w:p>
        </w:tc>
        <w:tc>
          <w:tcPr>
            <w:tcW w:type="dxa" w:w="2160"/>
            <w:shd w:fill="F8FAFC"/>
            <w:tcMar>
              <w:top w:w="80" w:type="dxa"/>
              <w:bottom w:w="80" w:type="dxa"/>
              <w:left w:w="120" w:type="dxa"/>
              <w:right w:w="120" w:type="dxa"/>
            </w:tcMar>
          </w:tcPr>
          <w:p>
            <w:pPr>
              <w:jc w:val="left"/>
            </w:pPr>
            <w:r>
              <w:rPr>
                <w:color w:val="334155"/>
                <w:sz w:val="18"/>
              </w:rPr>
              <w:t>Sympathovagal Balance Ratio</w:t>
            </w:r>
          </w:p>
        </w:tc>
        <w:tc>
          <w:tcPr>
            <w:tcW w:type="dxa" w:w="1728"/>
            <w:shd w:fill="F8FAFC"/>
            <w:tcMar>
              <w:top w:w="80" w:type="dxa"/>
              <w:bottom w:w="80" w:type="dxa"/>
              <w:left w:w="120" w:type="dxa"/>
              <w:right w:w="120" w:type="dxa"/>
            </w:tcMar>
          </w:tcPr>
          <w:p>
            <w:pPr>
              <w:jc w:val="left"/>
            </w:pPr>
            <w:r>
              <w:rPr>
                <w:color w:val="334155"/>
                <w:sz w:val="18"/>
              </w:rPr>
              <w:t>Dimensionless Ratio</w:t>
            </w:r>
          </w:p>
        </w:tc>
        <w:tc>
          <w:tcPr>
            <w:tcW w:type="dxa" w:w="1728"/>
            <w:shd w:fill="F8FAFC"/>
            <w:tcMar>
              <w:top w:w="80" w:type="dxa"/>
              <w:bottom w:w="80" w:type="dxa"/>
              <w:left w:w="120" w:type="dxa"/>
              <w:right w:w="120" w:type="dxa"/>
            </w:tcMar>
          </w:tcPr>
          <w:p>
            <w:pPr>
              <w:jc w:val="left"/>
            </w:pPr>
            <w:r>
              <w:rPr>
                <w:color w:val="334155"/>
                <w:sz w:val="18"/>
              </w:rPr>
              <w:t>1.66 ± 1.10</w:t>
            </w:r>
          </w:p>
        </w:tc>
      </w:tr>
      <w:tr>
        <w:tc>
          <w:tcPr>
            <w:tcW w:type="dxa" w:w="1584"/>
            <w:shd w:fill="FFFFFF"/>
            <w:tcMar>
              <w:top w:w="80" w:type="dxa"/>
              <w:bottom w:w="80" w:type="dxa"/>
              <w:left w:w="120" w:type="dxa"/>
              <w:right w:w="120" w:type="dxa"/>
            </w:tcMar>
          </w:tcPr>
          <w:p>
            <w:pPr>
              <w:jc w:val="left"/>
            </w:pPr>
            <w:r>
              <w:rPr>
                <w:color w:val="334155"/>
                <w:sz w:val="18"/>
              </w:rPr>
              <w:t>nasa</w:t>
            </w:r>
          </w:p>
        </w:tc>
        <w:tc>
          <w:tcPr>
            <w:tcW w:type="dxa" w:w="2880"/>
            <w:shd w:fill="FFFFFF"/>
            <w:tcMar>
              <w:top w:w="80" w:type="dxa"/>
              <w:bottom w:w="80" w:type="dxa"/>
              <w:left w:w="120" w:type="dxa"/>
              <w:right w:w="120" w:type="dxa"/>
            </w:tcMar>
          </w:tcPr>
          <w:p>
            <w:pPr>
              <w:jc w:val="left"/>
            </w:pPr>
            <w:r>
              <w:rPr>
                <w:color w:val="334155"/>
                <w:sz w:val="18"/>
              </w:rPr>
              <w:t>NASA Task Load Index</w:t>
            </w:r>
          </w:p>
        </w:tc>
        <w:tc>
          <w:tcPr>
            <w:tcW w:type="dxa" w:w="2160"/>
            <w:shd w:fill="FFFFFF"/>
            <w:tcMar>
              <w:top w:w="80" w:type="dxa"/>
              <w:bottom w:w="80" w:type="dxa"/>
              <w:left w:w="120" w:type="dxa"/>
              <w:right w:w="120" w:type="dxa"/>
            </w:tcMar>
          </w:tcPr>
          <w:p>
            <w:pPr>
              <w:jc w:val="left"/>
            </w:pPr>
            <w:r>
              <w:rPr>
                <w:color w:val="334155"/>
                <w:sz w:val="18"/>
              </w:rPr>
              <w:t>Subjective Cognitive Workload</w:t>
            </w:r>
          </w:p>
        </w:tc>
        <w:tc>
          <w:tcPr>
            <w:tcW w:type="dxa" w:w="1728"/>
            <w:shd w:fill="FFFFFF"/>
            <w:tcMar>
              <w:top w:w="80" w:type="dxa"/>
              <w:bottom w:w="80" w:type="dxa"/>
              <w:left w:w="120" w:type="dxa"/>
              <w:right w:w="120" w:type="dxa"/>
            </w:tcMar>
          </w:tcPr>
          <w:p>
            <w:pPr>
              <w:jc w:val="left"/>
            </w:pPr>
            <w:r>
              <w:rPr>
                <w:color w:val="334155"/>
                <w:sz w:val="18"/>
              </w:rPr>
              <w:t>Continuous Scale [0 - 100]</w:t>
            </w:r>
          </w:p>
        </w:tc>
        <w:tc>
          <w:tcPr>
            <w:tcW w:type="dxa" w:w="1728"/>
            <w:shd w:fill="FFFFFF"/>
            <w:tcMar>
              <w:top w:w="80" w:type="dxa"/>
              <w:bottom w:w="80" w:type="dxa"/>
              <w:left w:w="120" w:type="dxa"/>
              <w:right w:w="120" w:type="dxa"/>
            </w:tcMar>
          </w:tcPr>
          <w:p>
            <w:pPr>
              <w:jc w:val="left"/>
            </w:pPr>
            <w:r>
              <w:rPr>
                <w:color w:val="334155"/>
                <w:sz w:val="18"/>
              </w:rPr>
              <w:t>61.89 ± 16.68 pts</w:t>
            </w:r>
          </w:p>
        </w:tc>
      </w:tr>
    </w:tbl>
    <w:p>
      <w:pPr>
        <w:spacing w:after="160"/>
      </w:pPr>
    </w:p>
    <w:p>
      <w:pPr>
        <w:pStyle w:val="Heading2"/>
        <w:spacing w:before="280" w:after="120"/>
      </w:pPr>
      <w:r>
        <w:rPr>
          <w:b/>
          <w:color w:val="0284C7"/>
          <w:sz w:val="27"/>
        </w:rPr>
        <w:t>2.1 Physiological Anomaly Detection &amp; Artifact Correction</w:t>
      </w:r>
    </w:p>
    <w:p>
      <w:r>
        <w:t>Rigorous exploratory analysis of the raw CSV file (hrv_mwl_30.csv) revealed a critical typographic recording anomaly: In row index 3 (Participant 2, Trial 2), high-frequency power was logged as '332.91%'. Under standard spectral frequency decomposition (Task Force of ESC and NASPE, 1996), normalized LF and HF spectral powers satisfy the boundary constraint LF + HF ≈ 100%. For Participant 2 Trial 2, LF is 67.07% and the recorded LF/HF ratio is 2.038. Mathematical reconstruction demonstrates that: HF = LF / (LF/HF) = 67.07 / 2.038 = 32.91%. A typographical keystroke had prepended an extraneous '3' (producing 332.91). The automated data pipeline in twin_core/data_loader.py detects and programmatically corrects this artifact, ensuring numerical and biomedical consistency across all downstream predictive and explanatory models.</w:t>
      </w:r>
    </w:p>
    <w:p>
      <w:pPr>
        <w:pStyle w:val="Heading1"/>
        <w:spacing w:before="360" w:after="160"/>
      </w:pPr>
      <w:r>
        <w:rPr>
          <w:b/>
          <w:color w:val="0F172A"/>
          <w:sz w:val="34"/>
        </w:rPr>
        <w:t>3. Autonomic Cardiac Regulation &amp; WHO Clinical Framework</w:t>
      </w:r>
    </w:p>
    <w:p>
      <w:r>
        <w:t>Heart Rate Variability (HRV) serves as the primary non-invasive, objective window into the human Autonomic Nervous System (ANS). The sinoatrial node of the heart receives dual, antagonistic innervation from both the sympathetic and parasympathetic nervous systems.</w:t>
      </w:r>
    </w:p>
    <w:p>
      <w:r>
        <w:t>• Parasympathetic Control (Vagal Brake): Mediated through the vagus nerve (tenth cranial nerve), acetylcholine release immediately hyperpolarizes sinoatrial pacemaker cells via muscarinic (M2) receptors, producing rapid, beat-to-beat variations in the R-R interval. RMSSD and High-Frequency (HF, 0.15–0.40 Hz) power reflect this vagal tone. Under sustained cognitive demand, executive cortical regions (prefrontal cortex) experience neural fatigue, leading to vagal withdrawal, a drop in RMSSD, and diminished cardiac resilience.</w:t>
        <w:br/>
        <w:t>• Sympathetic Control: Mediated via norepinephrine release on beta-1 adrenergic receptors, driving chronotropic acceleration and metabolic preparedness. Reflected in Low-Frequency (LF, 0.04–0.15 Hz) power and elevated LF/HF ratio (&gt; 2.0).</w:t>
      </w:r>
    </w:p>
    <w:p>
      <w:pPr>
        <w:pStyle w:val="Heading2"/>
        <w:spacing w:before="280" w:after="120"/>
      </w:pPr>
      <w:r>
        <w:rPr>
          <w:b/>
          <w:color w:val="0284C7"/>
          <w:sz w:val="27"/>
        </w:rPr>
        <w:t>3.1 WHO Four-Tier Clinical Risk Stratification</w:t>
      </w:r>
    </w:p>
    <w:p>
      <w:r>
        <w:t>Adhering to the WHO Guidelines on Mental Health at Work (2022), the framework implements a multi-tier risk stratification system combining objective cardiovascular indicators with subjective cognitive task demand:</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shd w:fill="0F172A"/>
            <w:tcMar>
              <w:top w:w="120" w:type="dxa"/>
              <w:bottom w:w="120" w:type="dxa"/>
              <w:left w:w="140" w:type="dxa"/>
              <w:right w:w="140" w:type="dxa"/>
            </w:tcMar>
          </w:tcPr>
          <w:p>
            <w:pPr>
              <w:jc w:val="left"/>
            </w:pPr>
            <w:r>
              <w:rPr>
                <w:b/>
                <w:color w:val="FFFFFF"/>
                <w:sz w:val="19"/>
              </w:rPr>
              <w:t>WHO Clinical Tier</w:t>
            </w:r>
          </w:p>
        </w:tc>
        <w:tc>
          <w:tcPr>
            <w:tcW w:type="dxa" w:w="2016"/>
            <w:shd w:fill="0F172A"/>
            <w:tcMar>
              <w:top w:w="120" w:type="dxa"/>
              <w:bottom w:w="120" w:type="dxa"/>
              <w:left w:w="140" w:type="dxa"/>
              <w:right w:w="140" w:type="dxa"/>
            </w:tcMar>
          </w:tcPr>
          <w:p>
            <w:pPr>
              <w:jc w:val="left"/>
            </w:pPr>
            <w:r>
              <w:rPr>
                <w:b/>
                <w:color w:val="FFFFFF"/>
                <w:sz w:val="19"/>
              </w:rPr>
              <w:t>Autonomic State</w:t>
            </w:r>
          </w:p>
        </w:tc>
        <w:tc>
          <w:tcPr>
            <w:tcW w:type="dxa" w:w="2016"/>
            <w:shd w:fill="0F172A"/>
            <w:tcMar>
              <w:top w:w="120" w:type="dxa"/>
              <w:bottom w:w="120" w:type="dxa"/>
              <w:left w:w="140" w:type="dxa"/>
              <w:right w:w="140" w:type="dxa"/>
            </w:tcMar>
          </w:tcPr>
          <w:p>
            <w:pPr>
              <w:jc w:val="left"/>
            </w:pPr>
            <w:r>
              <w:rPr>
                <w:b/>
                <w:color w:val="FFFFFF"/>
                <w:sz w:val="19"/>
              </w:rPr>
              <w:t>Biomarker Profile</w:t>
            </w:r>
          </w:p>
        </w:tc>
        <w:tc>
          <w:tcPr>
            <w:tcW w:type="dxa" w:w="1584"/>
            <w:shd w:fill="0F172A"/>
            <w:tcMar>
              <w:top w:w="120" w:type="dxa"/>
              <w:bottom w:w="120" w:type="dxa"/>
              <w:left w:w="140" w:type="dxa"/>
              <w:right w:w="140" w:type="dxa"/>
            </w:tcMar>
          </w:tcPr>
          <w:p>
            <w:pPr>
              <w:jc w:val="left"/>
            </w:pPr>
            <w:r>
              <w:rPr>
                <w:b/>
                <w:color w:val="FFFFFF"/>
                <w:sz w:val="19"/>
              </w:rPr>
              <w:t>Cognitive Strain (CSI)</w:t>
            </w:r>
          </w:p>
        </w:tc>
        <w:tc>
          <w:tcPr>
            <w:tcW w:type="dxa" w:w="2736"/>
            <w:shd w:fill="0F172A"/>
            <w:tcMar>
              <w:top w:w="120" w:type="dxa"/>
              <w:bottom w:w="120" w:type="dxa"/>
              <w:left w:w="140" w:type="dxa"/>
              <w:right w:w="140" w:type="dxa"/>
            </w:tcMar>
          </w:tcPr>
          <w:p>
            <w:pPr>
              <w:jc w:val="left"/>
            </w:pPr>
            <w:r>
              <w:rPr>
                <w:b/>
                <w:color w:val="FFFFFF"/>
                <w:sz w:val="19"/>
              </w:rPr>
              <w:t>WHO Directive &amp; Protocol</w:t>
            </w:r>
          </w:p>
        </w:tc>
      </w:tr>
      <w:tr>
        <w:tc>
          <w:tcPr>
            <w:tcW w:type="dxa" w:w="2016"/>
            <w:shd w:fill="FFFFFF"/>
            <w:tcMar>
              <w:top w:w="80" w:type="dxa"/>
              <w:bottom w:w="80" w:type="dxa"/>
              <w:left w:w="120" w:type="dxa"/>
              <w:right w:w="120" w:type="dxa"/>
            </w:tcMar>
          </w:tcPr>
          <w:p>
            <w:pPr>
              <w:jc w:val="left"/>
            </w:pPr>
            <w:r>
              <w:rPr>
                <w:color w:val="334155"/>
                <w:sz w:val="18"/>
              </w:rPr>
              <w:t>Tier I: Optimal Restorative</w:t>
            </w:r>
          </w:p>
        </w:tc>
        <w:tc>
          <w:tcPr>
            <w:tcW w:type="dxa" w:w="2016"/>
            <w:shd w:fill="FFFFFF"/>
            <w:tcMar>
              <w:top w:w="80" w:type="dxa"/>
              <w:bottom w:w="80" w:type="dxa"/>
              <w:left w:w="120" w:type="dxa"/>
              <w:right w:w="120" w:type="dxa"/>
            </w:tcMar>
          </w:tcPr>
          <w:p>
            <w:pPr>
              <w:jc w:val="left"/>
            </w:pPr>
            <w:r>
              <w:rPr>
                <w:color w:val="334155"/>
                <w:sz w:val="18"/>
              </w:rPr>
              <w:t>Robust Parasympathetic Buffer</w:t>
            </w:r>
          </w:p>
        </w:tc>
        <w:tc>
          <w:tcPr>
            <w:tcW w:type="dxa" w:w="2016"/>
            <w:shd w:fill="FFFFFF"/>
            <w:tcMar>
              <w:top w:w="80" w:type="dxa"/>
              <w:bottom w:w="80" w:type="dxa"/>
              <w:left w:w="120" w:type="dxa"/>
              <w:right w:w="120" w:type="dxa"/>
            </w:tcMar>
          </w:tcPr>
          <w:p>
            <w:pPr>
              <w:jc w:val="left"/>
            </w:pPr>
            <w:r>
              <w:rPr>
                <w:color w:val="334155"/>
                <w:sz w:val="18"/>
              </w:rPr>
              <w:t>RMSSD ≥ 42 ms</w:t>
              <w:br/>
              <w:t>LF/HF: 0.5 - 1.5</w:t>
              <w:br/>
              <w:t>HR: 60 - 80 bpm</w:t>
            </w:r>
          </w:p>
        </w:tc>
        <w:tc>
          <w:tcPr>
            <w:tcW w:type="dxa" w:w="1584"/>
            <w:shd w:fill="FFFFFF"/>
            <w:tcMar>
              <w:top w:w="80" w:type="dxa"/>
              <w:bottom w:w="80" w:type="dxa"/>
              <w:left w:w="120" w:type="dxa"/>
              <w:right w:w="120" w:type="dxa"/>
            </w:tcMar>
          </w:tcPr>
          <w:p>
            <w:pPr>
              <w:jc w:val="left"/>
            </w:pPr>
            <w:r>
              <w:rPr>
                <w:color w:val="334155"/>
                <w:sz w:val="18"/>
              </w:rPr>
              <w:t>CSI &lt; 42%</w:t>
              <w:br/>
              <w:t>NASA &lt; 45</w:t>
            </w:r>
          </w:p>
        </w:tc>
        <w:tc>
          <w:tcPr>
            <w:tcW w:type="dxa" w:w="2736"/>
            <w:shd w:fill="FFFFFF"/>
            <w:tcMar>
              <w:top w:w="80" w:type="dxa"/>
              <w:bottom w:w="80" w:type="dxa"/>
              <w:left w:w="120" w:type="dxa"/>
              <w:right w:w="120" w:type="dxa"/>
            </w:tcMar>
          </w:tcPr>
          <w:p>
            <w:pPr>
              <w:jc w:val="left"/>
            </w:pPr>
            <w:r>
              <w:rPr>
                <w:color w:val="334155"/>
                <w:sz w:val="18"/>
              </w:rPr>
              <w:t>Primary Prevention: Maintain workflow, standard 50/10 min ergonomic cadence.</w:t>
            </w:r>
          </w:p>
        </w:tc>
      </w:tr>
      <w:tr>
        <w:tc>
          <w:tcPr>
            <w:tcW w:type="dxa" w:w="2016"/>
            <w:shd w:fill="F8FAFC"/>
            <w:tcMar>
              <w:top w:w="80" w:type="dxa"/>
              <w:bottom w:w="80" w:type="dxa"/>
              <w:left w:w="120" w:type="dxa"/>
              <w:right w:w="120" w:type="dxa"/>
            </w:tcMar>
          </w:tcPr>
          <w:p>
            <w:pPr>
              <w:jc w:val="left"/>
            </w:pPr>
            <w:r>
              <w:rPr>
                <w:color w:val="334155"/>
                <w:sz w:val="18"/>
              </w:rPr>
              <w:t>Tier II: Adaptive Alertness</w:t>
            </w:r>
          </w:p>
        </w:tc>
        <w:tc>
          <w:tcPr>
            <w:tcW w:type="dxa" w:w="2016"/>
            <w:shd w:fill="F8FAFC"/>
            <w:tcMar>
              <w:top w:w="80" w:type="dxa"/>
              <w:bottom w:w="80" w:type="dxa"/>
              <w:left w:w="120" w:type="dxa"/>
              <w:right w:w="120" w:type="dxa"/>
            </w:tcMar>
          </w:tcPr>
          <w:p>
            <w:pPr>
              <w:jc w:val="left"/>
            </w:pPr>
            <w:r>
              <w:rPr>
                <w:color w:val="334155"/>
                <w:sz w:val="18"/>
              </w:rPr>
              <w:t>Eustress / Adaptive Focus</w:t>
            </w:r>
          </w:p>
        </w:tc>
        <w:tc>
          <w:tcPr>
            <w:tcW w:type="dxa" w:w="2016"/>
            <w:shd w:fill="F8FAFC"/>
            <w:tcMar>
              <w:top w:w="80" w:type="dxa"/>
              <w:bottom w:w="80" w:type="dxa"/>
              <w:left w:w="120" w:type="dxa"/>
              <w:right w:w="120" w:type="dxa"/>
            </w:tcMar>
          </w:tcPr>
          <w:p>
            <w:pPr>
              <w:jc w:val="left"/>
            </w:pPr>
            <w:r>
              <w:rPr>
                <w:color w:val="334155"/>
                <w:sz w:val="18"/>
              </w:rPr>
              <w:t>RMSSD: 30 - 42 ms</w:t>
              <w:br/>
              <w:t>LF/HF: 1.5 - 2.2</w:t>
              <w:br/>
              <w:t>HR: 75 - 90 bpm</w:t>
            </w:r>
          </w:p>
        </w:tc>
        <w:tc>
          <w:tcPr>
            <w:tcW w:type="dxa" w:w="1584"/>
            <w:shd w:fill="F8FAFC"/>
            <w:tcMar>
              <w:top w:w="80" w:type="dxa"/>
              <w:bottom w:w="80" w:type="dxa"/>
              <w:left w:w="120" w:type="dxa"/>
              <w:right w:w="120" w:type="dxa"/>
            </w:tcMar>
          </w:tcPr>
          <w:p>
            <w:pPr>
              <w:jc w:val="left"/>
            </w:pPr>
            <w:r>
              <w:rPr>
                <w:color w:val="334155"/>
                <w:sz w:val="18"/>
              </w:rPr>
              <w:t>CSI: 42% - 60%</w:t>
              <w:br/>
              <w:t>NASA: 45 - 60</w:t>
            </w:r>
          </w:p>
        </w:tc>
        <w:tc>
          <w:tcPr>
            <w:tcW w:type="dxa" w:w="2736"/>
            <w:shd w:fill="F8FAFC"/>
            <w:tcMar>
              <w:top w:w="80" w:type="dxa"/>
              <w:bottom w:w="80" w:type="dxa"/>
              <w:left w:w="120" w:type="dxa"/>
              <w:right w:w="120" w:type="dxa"/>
            </w:tcMar>
          </w:tcPr>
          <w:p>
            <w:pPr>
              <w:jc w:val="left"/>
            </w:pPr>
            <w:r>
              <w:rPr>
                <w:color w:val="334155"/>
                <w:sz w:val="18"/>
              </w:rPr>
              <w:t>Self-Monitoring: Paced task transitions, 20-20-20 ocular rest, scheduled micro-breaks.</w:t>
            </w:r>
          </w:p>
        </w:tc>
      </w:tr>
      <w:tr>
        <w:tc>
          <w:tcPr>
            <w:tcW w:type="dxa" w:w="2016"/>
            <w:shd w:fill="FFFFFF"/>
            <w:tcMar>
              <w:top w:w="80" w:type="dxa"/>
              <w:bottom w:w="80" w:type="dxa"/>
              <w:left w:w="120" w:type="dxa"/>
              <w:right w:w="120" w:type="dxa"/>
            </w:tcMar>
          </w:tcPr>
          <w:p>
            <w:pPr>
              <w:jc w:val="left"/>
            </w:pPr>
            <w:r>
              <w:rPr>
                <w:color w:val="334155"/>
                <w:sz w:val="18"/>
              </w:rPr>
              <w:t>Tier III: Compensatory Strain</w:t>
            </w:r>
          </w:p>
        </w:tc>
        <w:tc>
          <w:tcPr>
            <w:tcW w:type="dxa" w:w="2016"/>
            <w:shd w:fill="FFFFFF"/>
            <w:tcMar>
              <w:top w:w="80" w:type="dxa"/>
              <w:bottom w:w="80" w:type="dxa"/>
              <w:left w:w="120" w:type="dxa"/>
              <w:right w:w="120" w:type="dxa"/>
            </w:tcMar>
          </w:tcPr>
          <w:p>
            <w:pPr>
              <w:jc w:val="left"/>
            </w:pPr>
            <w:r>
              <w:rPr>
                <w:color w:val="334155"/>
                <w:sz w:val="18"/>
              </w:rPr>
              <w:t>Vagal Withdrawal / Hyperarousal</w:t>
            </w:r>
          </w:p>
        </w:tc>
        <w:tc>
          <w:tcPr>
            <w:tcW w:type="dxa" w:w="2016"/>
            <w:shd w:fill="FFFFFF"/>
            <w:tcMar>
              <w:top w:w="80" w:type="dxa"/>
              <w:bottom w:w="80" w:type="dxa"/>
              <w:left w:w="120" w:type="dxa"/>
              <w:right w:w="120" w:type="dxa"/>
            </w:tcMar>
          </w:tcPr>
          <w:p>
            <w:pPr>
              <w:jc w:val="left"/>
            </w:pPr>
            <w:r>
              <w:rPr>
                <w:color w:val="334155"/>
                <w:sz w:val="18"/>
              </w:rPr>
              <w:t>RMSSD: 20 - 30 ms</w:t>
              <w:br/>
              <w:t>LF/HF: 2.2 - 3.2</w:t>
              <w:br/>
              <w:t>HR: 85 - 105 bpm</w:t>
            </w:r>
          </w:p>
        </w:tc>
        <w:tc>
          <w:tcPr>
            <w:tcW w:type="dxa" w:w="1584"/>
            <w:shd w:fill="FFFFFF"/>
            <w:tcMar>
              <w:top w:w="80" w:type="dxa"/>
              <w:bottom w:w="80" w:type="dxa"/>
              <w:left w:w="120" w:type="dxa"/>
              <w:right w:w="120" w:type="dxa"/>
            </w:tcMar>
          </w:tcPr>
          <w:p>
            <w:pPr>
              <w:jc w:val="left"/>
            </w:pPr>
            <w:r>
              <w:rPr>
                <w:color w:val="334155"/>
                <w:sz w:val="18"/>
              </w:rPr>
              <w:t>CSI: 60% - 75%</w:t>
              <w:br/>
              <w:t>NASA: 60 - 75</w:t>
            </w:r>
          </w:p>
        </w:tc>
        <w:tc>
          <w:tcPr>
            <w:tcW w:type="dxa" w:w="2736"/>
            <w:shd w:fill="FFFFFF"/>
            <w:tcMar>
              <w:top w:w="80" w:type="dxa"/>
              <w:bottom w:w="80" w:type="dxa"/>
              <w:left w:w="120" w:type="dxa"/>
              <w:right w:w="120" w:type="dxa"/>
            </w:tcMar>
          </w:tcPr>
          <w:p>
            <w:pPr>
              <w:jc w:val="left"/>
            </w:pPr>
            <w:r>
              <w:rPr>
                <w:color w:val="334155"/>
                <w:sz w:val="18"/>
              </w:rPr>
              <w:t>Secondary Prevention: Active 0.1 Hz resonant paced breathing (5 min), task decomposition.</w:t>
            </w:r>
          </w:p>
        </w:tc>
      </w:tr>
      <w:tr>
        <w:tc>
          <w:tcPr>
            <w:tcW w:type="dxa" w:w="2016"/>
            <w:shd w:fill="F8FAFC"/>
            <w:tcMar>
              <w:top w:w="80" w:type="dxa"/>
              <w:bottom w:w="80" w:type="dxa"/>
              <w:left w:w="120" w:type="dxa"/>
              <w:right w:w="120" w:type="dxa"/>
            </w:tcMar>
          </w:tcPr>
          <w:p>
            <w:pPr>
              <w:jc w:val="left"/>
            </w:pPr>
            <w:r>
              <w:rPr>
                <w:color w:val="334155"/>
                <w:sz w:val="18"/>
              </w:rPr>
              <w:t>Tier IV: Critical Exhaustion</w:t>
            </w:r>
          </w:p>
        </w:tc>
        <w:tc>
          <w:tcPr>
            <w:tcW w:type="dxa" w:w="2016"/>
            <w:shd w:fill="F8FAFC"/>
            <w:tcMar>
              <w:top w:w="80" w:type="dxa"/>
              <w:bottom w:w="80" w:type="dxa"/>
              <w:left w:w="120" w:type="dxa"/>
              <w:right w:w="120" w:type="dxa"/>
            </w:tcMar>
          </w:tcPr>
          <w:p>
            <w:pPr>
              <w:jc w:val="left"/>
            </w:pPr>
            <w:r>
              <w:rPr>
                <w:color w:val="334155"/>
                <w:sz w:val="18"/>
              </w:rPr>
              <w:t>Severe Autonomic Depletion</w:t>
            </w:r>
          </w:p>
        </w:tc>
        <w:tc>
          <w:tcPr>
            <w:tcW w:type="dxa" w:w="2016"/>
            <w:shd w:fill="F8FAFC"/>
            <w:tcMar>
              <w:top w:w="80" w:type="dxa"/>
              <w:bottom w:w="80" w:type="dxa"/>
              <w:left w:w="120" w:type="dxa"/>
              <w:right w:w="120" w:type="dxa"/>
            </w:tcMar>
          </w:tcPr>
          <w:p>
            <w:pPr>
              <w:jc w:val="left"/>
            </w:pPr>
            <w:r>
              <w:rPr>
                <w:color w:val="334155"/>
                <w:sz w:val="18"/>
              </w:rPr>
              <w:t>RMSSD &lt; 20 ms</w:t>
              <w:br/>
              <w:t>LF/HF &gt; 3.2</w:t>
              <w:br/>
              <w:t>SDNN &lt; 20 ms</w:t>
            </w:r>
          </w:p>
        </w:tc>
        <w:tc>
          <w:tcPr>
            <w:tcW w:type="dxa" w:w="1584"/>
            <w:shd w:fill="F8FAFC"/>
            <w:tcMar>
              <w:top w:w="80" w:type="dxa"/>
              <w:bottom w:w="80" w:type="dxa"/>
              <w:left w:w="120" w:type="dxa"/>
              <w:right w:w="120" w:type="dxa"/>
            </w:tcMar>
          </w:tcPr>
          <w:p>
            <w:pPr>
              <w:jc w:val="left"/>
            </w:pPr>
            <w:r>
              <w:rPr>
                <w:color w:val="334155"/>
                <w:sz w:val="18"/>
              </w:rPr>
              <w:t>CSI ≥ 75%</w:t>
              <w:br/>
              <w:t>NASA &gt; 75</w:t>
            </w:r>
          </w:p>
        </w:tc>
        <w:tc>
          <w:tcPr>
            <w:tcW w:type="dxa" w:w="2736"/>
            <w:shd w:fill="F8FAFC"/>
            <w:tcMar>
              <w:top w:w="80" w:type="dxa"/>
              <w:bottom w:w="80" w:type="dxa"/>
              <w:left w:w="120" w:type="dxa"/>
              <w:right w:w="120" w:type="dxa"/>
            </w:tcMar>
          </w:tcPr>
          <w:p>
            <w:pPr>
              <w:jc w:val="left"/>
            </w:pPr>
            <w:r>
              <w:rPr>
                <w:color w:val="334155"/>
                <w:sz w:val="18"/>
              </w:rPr>
              <w:t>Immediate Cessation: Mandatory task stoppage, dark-room recovery, occupational evaluation.</w:t>
            </w:r>
          </w:p>
        </w:tc>
      </w:tr>
    </w:tbl>
    <w:p>
      <w:pPr>
        <w:spacing w:after="160"/>
      </w:pPr>
    </w:p>
    <w:p>
      <w:pPr>
        <w:pStyle w:val="Heading1"/>
        <w:spacing w:before="360" w:after="160"/>
      </w:pPr>
      <w:r>
        <w:rPr>
          <w:b/>
          <w:color w:val="0F172A"/>
          <w:sz w:val="34"/>
        </w:rPr>
        <w:t>4. Mathematical Formulations &amp; Composite Biomarkers</w:t>
      </w:r>
    </w:p>
    <w:p>
      <w:r>
        <w:t>To synthesize multifaceted biotelemetry into clinically actionable single-score indices, the framework defines four closed-form mathematical equations grounded in clinical homeostasis:</w:t>
      </w:r>
    </w:p>
    <w:p>
      <w:r>
        <w:t>1. Vagal Tone Index (VTI):</w:t>
        <w:br/>
        <w:t>Measures parasympathetic cardiac brake reserve normalized to the clinical optimal threshold (42.0 ms):</w:t>
        <w:br/>
        <w:t xml:space="preserve">    VTI = min(100, max(5, (RMSSD / 42.0) * 100))</w:t>
        <w:br/>
        <w:br/>
        <w:t>2. Autonomic Flexibility Index (AFI):</w:t>
        <w:br/>
        <w:t>Quantifies overall heart rate variability and baroreceptor adaptability relative to normal adult resting levels (50.0 ms):</w:t>
        <w:br/>
        <w:t xml:space="preserve">    AFI = min(100, max(5, (SDNN / 50.0) * 100))</w:t>
        <w:br/>
        <w:br/>
        <w:t>3. Sympathovagal Balance Score (SBS):</w:t>
        <w:br/>
        <w:t>Assesses deviations from homeostatic autonomic neutrality (optimal LF/HF ratio = 1.20):</w:t>
        <w:br/>
        <w:t xml:space="preserve">    SBS = 100 - (|LF/HF - 1.2| * 40)   [for LF/HF ≤ 1.5]</w:t>
        <w:br/>
        <w:t xml:space="preserve">    SBS = max(5, 100 - ((LF/HF - 1.5) * 35))   [for LF/HF &gt; 1.5]</w:t>
        <w:br/>
        <w:br/>
        <w:t>4. WHO Composite Strain Index (CSI):</w:t>
        <w:br/>
        <w:t>Integrates predicted cognitive workload (NASA-TLX) with objective autonomic exhaustion:</w:t>
        <w:br/>
        <w:t xml:space="preserve">    Autonomic_Exhaustion = 100 - (0.50 * VTI + 0.30 * AFI + 0.20 * SBS)</w:t>
        <w:br/>
        <w:t xml:space="preserve">    CSI = 0.55 * NASA_Pred + 0.45 * Autonomic_Exhaustion</w:t>
      </w:r>
    </w:p>
    <w:p>
      <w:pPr>
        <w:pStyle w:val="Heading1"/>
        <w:spacing w:before="360" w:after="160"/>
      </w:pPr>
      <w:r>
        <w:rPr>
          <w:b/>
          <w:color w:val="0F172A"/>
          <w:sz w:val="34"/>
        </w:rPr>
        <w:t>5. Predictive Modeling &amp; Explainable AI (XAI) Architecture</w:t>
      </w:r>
    </w:p>
    <w:p>
      <w:r>
        <w:t>A key requirement for clinical trust and compliance with the WHO Digital Health Strategy and the European Union AI Act is that AI-driven diagnostics must never operate as inscrutable black boxes. The framework utilizes a two-tier machine learning and explanation architecture:</w:t>
      </w:r>
    </w:p>
    <w:p>
      <w:r>
        <w:t>1. Cross-Participant GroupKFold Validation: Standard K-Fold random splitting leaks an individual's biometric baseline between training and test folds. To enforce absolute generalization to unseen patients, a 5-Fold GroupKFold partitioning scheme is implemented, grouping both trials of any given participant into either strictly training or strictly evaluation sets.</w:t>
        <w:br/>
        <w:t>2. TreeSHAP Local Feature Attribution: For every prediction, the exact Shapley feature attribution φ_i is computed using TreeSHAP, satisfying the local accuracy and efficiency axioms:</w:t>
        <w:br/>
        <w:t xml:space="preserve">    f(x) = E[f(x)] + ∑ φ_i</w:t>
        <w:br/>
        <w:t>where E[f(x)] is the cohort base value (61.89 points) and each φ_i quantifies the exact directional push of feature i towards higher or lower mental workload.</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172A"/>
            <w:tcMar>
              <w:top w:w="120" w:type="dxa"/>
              <w:bottom w:w="120" w:type="dxa"/>
              <w:left w:w="140" w:type="dxa"/>
              <w:right w:w="140" w:type="dxa"/>
            </w:tcMar>
          </w:tcPr>
          <w:p>
            <w:pPr>
              <w:jc w:val="left"/>
            </w:pPr>
            <w:r>
              <w:rPr>
                <w:b/>
                <w:color w:val="FFFFFF"/>
                <w:sz w:val="19"/>
              </w:rPr>
              <w:t>Model Architecture</w:t>
            </w:r>
          </w:p>
        </w:tc>
        <w:tc>
          <w:tcPr>
            <w:tcW w:type="dxa" w:w="1872"/>
            <w:shd w:fill="0F172A"/>
            <w:tcMar>
              <w:top w:w="120" w:type="dxa"/>
              <w:bottom w:w="120" w:type="dxa"/>
              <w:left w:w="140" w:type="dxa"/>
              <w:right w:w="140" w:type="dxa"/>
            </w:tcMar>
          </w:tcPr>
          <w:p>
            <w:pPr>
              <w:jc w:val="left"/>
            </w:pPr>
            <w:r>
              <w:rPr>
                <w:b/>
                <w:color w:val="FFFFFF"/>
                <w:sz w:val="19"/>
              </w:rPr>
              <w:t>Validation Strategy</w:t>
            </w:r>
          </w:p>
        </w:tc>
        <w:tc>
          <w:tcPr>
            <w:tcW w:type="dxa" w:w="1872"/>
            <w:shd w:fill="0F172A"/>
            <w:tcMar>
              <w:top w:w="120" w:type="dxa"/>
              <w:bottom w:w="120" w:type="dxa"/>
              <w:left w:w="140" w:type="dxa"/>
              <w:right w:w="140" w:type="dxa"/>
            </w:tcMar>
          </w:tcPr>
          <w:p>
            <w:pPr>
              <w:jc w:val="left"/>
            </w:pPr>
            <w:r>
              <w:rPr>
                <w:b/>
                <w:color w:val="FFFFFF"/>
                <w:sz w:val="19"/>
              </w:rPr>
              <w:t>CV MAE (Mean ± SD)</w:t>
            </w:r>
          </w:p>
        </w:tc>
        <w:tc>
          <w:tcPr>
            <w:tcW w:type="dxa" w:w="1440"/>
            <w:shd w:fill="0F172A"/>
            <w:tcMar>
              <w:top w:w="120" w:type="dxa"/>
              <w:bottom w:w="120" w:type="dxa"/>
              <w:left w:w="140" w:type="dxa"/>
              <w:right w:w="140" w:type="dxa"/>
            </w:tcMar>
          </w:tcPr>
          <w:p>
            <w:pPr>
              <w:jc w:val="left"/>
            </w:pPr>
            <w:r>
              <w:rPr>
                <w:b/>
                <w:color w:val="FFFFFF"/>
                <w:sz w:val="19"/>
              </w:rPr>
              <w:t>CV RMSE</w:t>
            </w:r>
          </w:p>
        </w:tc>
        <w:tc>
          <w:tcPr>
            <w:tcW w:type="dxa" w:w="3024"/>
            <w:shd w:fill="0F172A"/>
            <w:tcMar>
              <w:top w:w="120" w:type="dxa"/>
              <w:bottom w:w="120" w:type="dxa"/>
              <w:left w:w="140" w:type="dxa"/>
              <w:right w:w="140" w:type="dxa"/>
            </w:tcMar>
          </w:tcPr>
          <w:p>
            <w:pPr>
              <w:jc w:val="left"/>
            </w:pPr>
            <w:r>
              <w:rPr>
                <w:b/>
                <w:color w:val="FFFFFF"/>
                <w:sz w:val="19"/>
              </w:rPr>
              <w:t>Interpretability Engine</w:t>
            </w:r>
          </w:p>
        </w:tc>
      </w:tr>
      <w:tr>
        <w:tc>
          <w:tcPr>
            <w:tcW w:type="dxa" w:w="2160"/>
            <w:shd w:fill="FFFFFF"/>
            <w:tcMar>
              <w:top w:w="80" w:type="dxa"/>
              <w:bottom w:w="80" w:type="dxa"/>
              <w:left w:w="120" w:type="dxa"/>
              <w:right w:w="120" w:type="dxa"/>
            </w:tcMar>
          </w:tcPr>
          <w:p>
            <w:pPr>
              <w:jc w:val="left"/>
            </w:pPr>
            <w:r>
              <w:rPr>
                <w:color w:val="334155"/>
                <w:sz w:val="18"/>
              </w:rPr>
              <w:t>Random Forest Regressor</w:t>
            </w:r>
          </w:p>
        </w:tc>
        <w:tc>
          <w:tcPr>
            <w:tcW w:type="dxa" w:w="1872"/>
            <w:shd w:fill="FFFFFF"/>
            <w:tcMar>
              <w:top w:w="80" w:type="dxa"/>
              <w:bottom w:w="80" w:type="dxa"/>
              <w:left w:w="120" w:type="dxa"/>
              <w:right w:w="120" w:type="dxa"/>
            </w:tcMar>
          </w:tcPr>
          <w:p>
            <w:pPr>
              <w:jc w:val="left"/>
            </w:pPr>
            <w:r>
              <w:rPr>
                <w:color w:val="334155"/>
                <w:sz w:val="18"/>
              </w:rPr>
              <w:t>5-Fold GroupKFold</w:t>
            </w:r>
          </w:p>
        </w:tc>
        <w:tc>
          <w:tcPr>
            <w:tcW w:type="dxa" w:w="1872"/>
            <w:shd w:fill="FFFFFF"/>
            <w:tcMar>
              <w:top w:w="80" w:type="dxa"/>
              <w:bottom w:w="80" w:type="dxa"/>
              <w:left w:w="120" w:type="dxa"/>
              <w:right w:w="120" w:type="dxa"/>
            </w:tcMar>
          </w:tcPr>
          <w:p>
            <w:pPr>
              <w:jc w:val="left"/>
            </w:pPr>
            <w:r>
              <w:rPr>
                <w:color w:val="334155"/>
                <w:sz w:val="18"/>
              </w:rPr>
              <w:t>15.99 ± 3.69 pts</w:t>
            </w:r>
          </w:p>
        </w:tc>
        <w:tc>
          <w:tcPr>
            <w:tcW w:type="dxa" w:w="1440"/>
            <w:shd w:fill="FFFFFF"/>
            <w:tcMar>
              <w:top w:w="80" w:type="dxa"/>
              <w:bottom w:w="80" w:type="dxa"/>
              <w:left w:w="120" w:type="dxa"/>
              <w:right w:w="120" w:type="dxa"/>
            </w:tcMar>
          </w:tcPr>
          <w:p>
            <w:pPr>
              <w:jc w:val="left"/>
            </w:pPr>
            <w:r>
              <w:rPr>
                <w:color w:val="334155"/>
                <w:sz w:val="18"/>
              </w:rPr>
              <w:t>19.97 pts</w:t>
            </w:r>
          </w:p>
        </w:tc>
        <w:tc>
          <w:tcPr>
            <w:tcW w:type="dxa" w:w="3024"/>
            <w:shd w:fill="FFFFFF"/>
            <w:tcMar>
              <w:top w:w="80" w:type="dxa"/>
              <w:bottom w:w="80" w:type="dxa"/>
              <w:left w:w="120" w:type="dxa"/>
              <w:right w:w="120" w:type="dxa"/>
            </w:tcMar>
          </w:tcPr>
          <w:p>
            <w:pPr>
              <w:jc w:val="left"/>
            </w:pPr>
            <w:r>
              <w:rPr>
                <w:color w:val="334155"/>
                <w:sz w:val="18"/>
              </w:rPr>
              <w:t>Exact TreeSHAP (Non-linear Interactions)</w:t>
            </w:r>
          </w:p>
        </w:tc>
      </w:tr>
      <w:tr>
        <w:tc>
          <w:tcPr>
            <w:tcW w:type="dxa" w:w="2160"/>
            <w:shd w:fill="F8FAFC"/>
            <w:tcMar>
              <w:top w:w="80" w:type="dxa"/>
              <w:bottom w:w="80" w:type="dxa"/>
              <w:left w:w="120" w:type="dxa"/>
              <w:right w:w="120" w:type="dxa"/>
            </w:tcMar>
          </w:tcPr>
          <w:p>
            <w:pPr>
              <w:jc w:val="left"/>
            </w:pPr>
            <w:r>
              <w:rPr>
                <w:color w:val="334155"/>
                <w:sz w:val="18"/>
              </w:rPr>
              <w:t>Ridge Regressor (L2)</w:t>
            </w:r>
          </w:p>
        </w:tc>
        <w:tc>
          <w:tcPr>
            <w:tcW w:type="dxa" w:w="1872"/>
            <w:shd w:fill="F8FAFC"/>
            <w:tcMar>
              <w:top w:w="80" w:type="dxa"/>
              <w:bottom w:w="80" w:type="dxa"/>
              <w:left w:w="120" w:type="dxa"/>
              <w:right w:w="120" w:type="dxa"/>
            </w:tcMar>
          </w:tcPr>
          <w:p>
            <w:pPr>
              <w:jc w:val="left"/>
            </w:pPr>
            <w:r>
              <w:rPr>
                <w:color w:val="334155"/>
                <w:sz w:val="18"/>
              </w:rPr>
              <w:t>5-Fold GroupKFold</w:t>
            </w:r>
          </w:p>
        </w:tc>
        <w:tc>
          <w:tcPr>
            <w:tcW w:type="dxa" w:w="1872"/>
            <w:shd w:fill="F8FAFC"/>
            <w:tcMar>
              <w:top w:w="80" w:type="dxa"/>
              <w:bottom w:w="80" w:type="dxa"/>
              <w:left w:w="120" w:type="dxa"/>
              <w:right w:w="120" w:type="dxa"/>
            </w:tcMar>
          </w:tcPr>
          <w:p>
            <w:pPr>
              <w:jc w:val="left"/>
            </w:pPr>
            <w:r>
              <w:rPr>
                <w:color w:val="334155"/>
                <w:sz w:val="18"/>
              </w:rPr>
              <w:t>15.71 ± 2.23 pts</w:t>
            </w:r>
          </w:p>
        </w:tc>
        <w:tc>
          <w:tcPr>
            <w:tcW w:type="dxa" w:w="1440"/>
            <w:shd w:fill="F8FAFC"/>
            <w:tcMar>
              <w:top w:w="80" w:type="dxa"/>
              <w:bottom w:w="80" w:type="dxa"/>
              <w:left w:w="120" w:type="dxa"/>
              <w:right w:w="120" w:type="dxa"/>
            </w:tcMar>
          </w:tcPr>
          <w:p>
            <w:pPr>
              <w:jc w:val="left"/>
            </w:pPr>
            <w:r>
              <w:rPr>
                <w:color w:val="334155"/>
                <w:sz w:val="18"/>
              </w:rPr>
              <w:t>17.79 pts</w:t>
            </w:r>
          </w:p>
        </w:tc>
        <w:tc>
          <w:tcPr>
            <w:tcW w:type="dxa" w:w="3024"/>
            <w:shd w:fill="F8FAFC"/>
            <w:tcMar>
              <w:top w:w="80" w:type="dxa"/>
              <w:bottom w:w="80" w:type="dxa"/>
              <w:left w:w="120" w:type="dxa"/>
              <w:right w:w="120" w:type="dxa"/>
            </w:tcMar>
          </w:tcPr>
          <w:p>
            <w:pPr>
              <w:jc w:val="left"/>
            </w:pPr>
            <w:r>
              <w:rPr>
                <w:color w:val="334155"/>
                <w:sz w:val="18"/>
              </w:rPr>
              <w:t>Standardized Linear Shapley Attribution</w:t>
            </w:r>
          </w:p>
        </w:tc>
      </w:tr>
      <w:tr>
        <w:tc>
          <w:tcPr>
            <w:tcW w:type="dxa" w:w="2160"/>
            <w:shd w:fill="FFFFFF"/>
            <w:tcMar>
              <w:top w:w="80" w:type="dxa"/>
              <w:bottom w:w="80" w:type="dxa"/>
              <w:left w:w="120" w:type="dxa"/>
              <w:right w:w="120" w:type="dxa"/>
            </w:tcMar>
          </w:tcPr>
          <w:p>
            <w:pPr>
              <w:jc w:val="left"/>
            </w:pPr>
            <w:r>
              <w:rPr>
                <w:color w:val="334155"/>
                <w:sz w:val="18"/>
              </w:rPr>
              <w:t>ElasticNet Regressor</w:t>
            </w:r>
          </w:p>
        </w:tc>
        <w:tc>
          <w:tcPr>
            <w:tcW w:type="dxa" w:w="1872"/>
            <w:shd w:fill="FFFFFF"/>
            <w:tcMar>
              <w:top w:w="80" w:type="dxa"/>
              <w:bottom w:w="80" w:type="dxa"/>
              <w:left w:w="120" w:type="dxa"/>
              <w:right w:w="120" w:type="dxa"/>
            </w:tcMar>
          </w:tcPr>
          <w:p>
            <w:pPr>
              <w:jc w:val="left"/>
            </w:pPr>
            <w:r>
              <w:rPr>
                <w:color w:val="334155"/>
                <w:sz w:val="18"/>
              </w:rPr>
              <w:t>5-Fold GroupKFold</w:t>
            </w:r>
          </w:p>
        </w:tc>
        <w:tc>
          <w:tcPr>
            <w:tcW w:type="dxa" w:w="1872"/>
            <w:shd w:fill="FFFFFF"/>
            <w:tcMar>
              <w:top w:w="80" w:type="dxa"/>
              <w:bottom w:w="80" w:type="dxa"/>
              <w:left w:w="120" w:type="dxa"/>
              <w:right w:w="120" w:type="dxa"/>
            </w:tcMar>
          </w:tcPr>
          <w:p>
            <w:pPr>
              <w:jc w:val="left"/>
            </w:pPr>
            <w:r>
              <w:rPr>
                <w:color w:val="334155"/>
                <w:sz w:val="18"/>
              </w:rPr>
              <w:t>15.20 ± 3.43 pts</w:t>
            </w:r>
          </w:p>
        </w:tc>
        <w:tc>
          <w:tcPr>
            <w:tcW w:type="dxa" w:w="1440"/>
            <w:shd w:fill="FFFFFF"/>
            <w:tcMar>
              <w:top w:w="80" w:type="dxa"/>
              <w:bottom w:w="80" w:type="dxa"/>
              <w:left w:w="120" w:type="dxa"/>
              <w:right w:w="120" w:type="dxa"/>
            </w:tcMar>
          </w:tcPr>
          <w:p>
            <w:pPr>
              <w:jc w:val="left"/>
            </w:pPr>
            <w:r>
              <w:rPr>
                <w:color w:val="334155"/>
                <w:sz w:val="18"/>
              </w:rPr>
              <w:t>17.52 pts</w:t>
            </w:r>
          </w:p>
        </w:tc>
        <w:tc>
          <w:tcPr>
            <w:tcW w:type="dxa" w:w="3024"/>
            <w:shd w:fill="FFFFFF"/>
            <w:tcMar>
              <w:top w:w="80" w:type="dxa"/>
              <w:bottom w:w="80" w:type="dxa"/>
              <w:left w:w="120" w:type="dxa"/>
              <w:right w:w="120" w:type="dxa"/>
            </w:tcMar>
          </w:tcPr>
          <w:p>
            <w:pPr>
              <w:jc w:val="left"/>
            </w:pPr>
            <w:r>
              <w:rPr>
                <w:color w:val="334155"/>
                <w:sz w:val="18"/>
              </w:rPr>
              <w:t>Sparsified Feature Weight Attribution</w:t>
            </w:r>
          </w:p>
        </w:tc>
      </w:tr>
      <w:tr>
        <w:tc>
          <w:tcPr>
            <w:tcW w:type="dxa" w:w="2160"/>
            <w:shd w:fill="F8FAFC"/>
            <w:tcMar>
              <w:top w:w="80" w:type="dxa"/>
              <w:bottom w:w="80" w:type="dxa"/>
              <w:left w:w="120" w:type="dxa"/>
              <w:right w:w="120" w:type="dxa"/>
            </w:tcMar>
          </w:tcPr>
          <w:p>
            <w:pPr>
              <w:jc w:val="left"/>
            </w:pPr>
            <w:r>
              <w:rPr>
                <w:color w:val="334155"/>
                <w:sz w:val="18"/>
              </w:rPr>
              <w:t>Gradient Boosting</w:t>
            </w:r>
          </w:p>
        </w:tc>
        <w:tc>
          <w:tcPr>
            <w:tcW w:type="dxa" w:w="1872"/>
            <w:shd w:fill="F8FAFC"/>
            <w:tcMar>
              <w:top w:w="80" w:type="dxa"/>
              <w:bottom w:w="80" w:type="dxa"/>
              <w:left w:w="120" w:type="dxa"/>
              <w:right w:w="120" w:type="dxa"/>
            </w:tcMar>
          </w:tcPr>
          <w:p>
            <w:pPr>
              <w:jc w:val="left"/>
            </w:pPr>
            <w:r>
              <w:rPr>
                <w:color w:val="334155"/>
                <w:sz w:val="18"/>
              </w:rPr>
              <w:t>5-Fold GroupKFold</w:t>
            </w:r>
          </w:p>
        </w:tc>
        <w:tc>
          <w:tcPr>
            <w:tcW w:type="dxa" w:w="1872"/>
            <w:shd w:fill="F8FAFC"/>
            <w:tcMar>
              <w:top w:w="80" w:type="dxa"/>
              <w:bottom w:w="80" w:type="dxa"/>
              <w:left w:w="120" w:type="dxa"/>
              <w:right w:w="120" w:type="dxa"/>
            </w:tcMar>
          </w:tcPr>
          <w:p>
            <w:pPr>
              <w:jc w:val="left"/>
            </w:pPr>
            <w:r>
              <w:rPr>
                <w:color w:val="334155"/>
                <w:sz w:val="18"/>
              </w:rPr>
              <w:t>17.09 ± 3.08 pts</w:t>
            </w:r>
          </w:p>
        </w:tc>
        <w:tc>
          <w:tcPr>
            <w:tcW w:type="dxa" w:w="1440"/>
            <w:shd w:fill="F8FAFC"/>
            <w:tcMar>
              <w:top w:w="80" w:type="dxa"/>
              <w:bottom w:w="80" w:type="dxa"/>
              <w:left w:w="120" w:type="dxa"/>
              <w:right w:w="120" w:type="dxa"/>
            </w:tcMar>
          </w:tcPr>
          <w:p>
            <w:pPr>
              <w:jc w:val="left"/>
            </w:pPr>
            <w:r>
              <w:rPr>
                <w:color w:val="334155"/>
                <w:sz w:val="18"/>
              </w:rPr>
              <w:t>21.53 pts</w:t>
            </w:r>
          </w:p>
        </w:tc>
        <w:tc>
          <w:tcPr>
            <w:tcW w:type="dxa" w:w="3024"/>
            <w:shd w:fill="F8FAFC"/>
            <w:tcMar>
              <w:top w:w="80" w:type="dxa"/>
              <w:bottom w:w="80" w:type="dxa"/>
              <w:left w:w="120" w:type="dxa"/>
              <w:right w:w="120" w:type="dxa"/>
            </w:tcMar>
          </w:tcPr>
          <w:p>
            <w:pPr>
              <w:jc w:val="left"/>
            </w:pPr>
            <w:r>
              <w:rPr>
                <w:color w:val="334155"/>
                <w:sz w:val="18"/>
              </w:rPr>
              <w:t>Sequential Boosting TreeSHAP</w:t>
            </w:r>
          </w:p>
        </w:tc>
      </w:tr>
      <w:tr>
        <w:tc>
          <w:tcPr>
            <w:tcW w:type="dxa" w:w="2160"/>
            <w:shd w:fill="FFFFFF"/>
            <w:tcMar>
              <w:top w:w="80" w:type="dxa"/>
              <w:bottom w:w="80" w:type="dxa"/>
              <w:left w:w="120" w:type="dxa"/>
              <w:right w:w="120" w:type="dxa"/>
            </w:tcMar>
          </w:tcPr>
          <w:p>
            <w:pPr>
              <w:jc w:val="left"/>
            </w:pPr>
            <w:r>
              <w:rPr>
                <w:color w:val="334155"/>
                <w:sz w:val="18"/>
              </w:rPr>
              <w:t>Extra Trees Regressor</w:t>
            </w:r>
          </w:p>
        </w:tc>
        <w:tc>
          <w:tcPr>
            <w:tcW w:type="dxa" w:w="1872"/>
            <w:shd w:fill="FFFFFF"/>
            <w:tcMar>
              <w:top w:w="80" w:type="dxa"/>
              <w:bottom w:w="80" w:type="dxa"/>
              <w:left w:w="120" w:type="dxa"/>
              <w:right w:w="120" w:type="dxa"/>
            </w:tcMar>
          </w:tcPr>
          <w:p>
            <w:pPr>
              <w:jc w:val="left"/>
            </w:pPr>
            <w:r>
              <w:rPr>
                <w:color w:val="334155"/>
                <w:sz w:val="18"/>
              </w:rPr>
              <w:t>5-Fold GroupKFold</w:t>
            </w:r>
          </w:p>
        </w:tc>
        <w:tc>
          <w:tcPr>
            <w:tcW w:type="dxa" w:w="1872"/>
            <w:shd w:fill="FFFFFF"/>
            <w:tcMar>
              <w:top w:w="80" w:type="dxa"/>
              <w:bottom w:w="80" w:type="dxa"/>
              <w:left w:w="120" w:type="dxa"/>
              <w:right w:w="120" w:type="dxa"/>
            </w:tcMar>
          </w:tcPr>
          <w:p>
            <w:pPr>
              <w:jc w:val="left"/>
            </w:pPr>
            <w:r>
              <w:rPr>
                <w:color w:val="334155"/>
                <w:sz w:val="18"/>
              </w:rPr>
              <w:t>16.40 ± 3.72 pts</w:t>
            </w:r>
          </w:p>
        </w:tc>
        <w:tc>
          <w:tcPr>
            <w:tcW w:type="dxa" w:w="1440"/>
            <w:shd w:fill="FFFFFF"/>
            <w:tcMar>
              <w:top w:w="80" w:type="dxa"/>
              <w:bottom w:w="80" w:type="dxa"/>
              <w:left w:w="120" w:type="dxa"/>
              <w:right w:w="120" w:type="dxa"/>
            </w:tcMar>
          </w:tcPr>
          <w:p>
            <w:pPr>
              <w:jc w:val="left"/>
            </w:pPr>
            <w:r>
              <w:rPr>
                <w:color w:val="334155"/>
                <w:sz w:val="18"/>
              </w:rPr>
              <w:t>19.57 pts</w:t>
            </w:r>
          </w:p>
        </w:tc>
        <w:tc>
          <w:tcPr>
            <w:tcW w:type="dxa" w:w="3024"/>
            <w:shd w:fill="FFFFFF"/>
            <w:tcMar>
              <w:top w:w="80" w:type="dxa"/>
              <w:bottom w:w="80" w:type="dxa"/>
              <w:left w:w="120" w:type="dxa"/>
              <w:right w:w="120" w:type="dxa"/>
            </w:tcMar>
          </w:tcPr>
          <w:p>
            <w:pPr>
              <w:jc w:val="left"/>
            </w:pPr>
            <w:r>
              <w:rPr>
                <w:color w:val="334155"/>
                <w:sz w:val="18"/>
              </w:rPr>
              <w:t>Extremely Randomized TreeSHAP</w:t>
            </w:r>
          </w:p>
        </w:tc>
      </w:tr>
    </w:tbl>
    <w:p>
      <w:pPr>
        <w:spacing w:after="160"/>
      </w:pPr>
    </w:p>
    <w:p>
      <w:pPr>
        <w:pStyle w:val="Heading1"/>
        <w:spacing w:before="360" w:after="160"/>
      </w:pPr>
      <w:r>
        <w:rPr>
          <w:b/>
          <w:color w:val="0F172A"/>
          <w:sz w:val="34"/>
        </w:rPr>
        <w:t>6. In Silico Digital Twin &amp; Counterfactual Simulator</w:t>
      </w:r>
    </w:p>
    <w:p>
      <w:r>
        <w:t>The core concept of a Digital Twin is maintaining a synchronized computational avatar of the physical patient that can run virtual experiments ('What-If' scenarios). The HRV_DigitalTwin class (twin_core/digital_twin.py) encapsulates the complete state vector s(t) and allows clinicians to project the outcome of physiological interventions before prescribing them:</w:t>
      </w:r>
    </w:p>
    <w:p>
      <w:r>
        <w:t>• Scenario 1: 0.1 Hz Resonant Paced Breathing (5 min): Simulates diaphragmatic respiration at ~6 breaths per minute. Mechanics: synchronizes lung tidal volume oscillations with Mayer blood pressure waves, producing constructive baroreflex resonance. Expected outcome: ΔRMSSD = +14.5 ms, ΔLF/HF = -0.85, ΔHR = -5.0 bpm. Predicted cognitive load decreases by 10 to 15 points, transitioning the subject from Tier III to Tier II.</w:t>
        <w:br/>
        <w:t>• Scenario 2: Mindful Micro-Break (10 min): Simulates quiet sensory disengagement and passive auditory relaxation: ΔRMSSD = +6.5 ms, ΔHR = -3.5 bpm.</w:t>
        <w:br/>
        <w:t>• Scenario 3: Prolonged Overwork (No Breaks): Simulates continuous 2-hour high-demand arithmetic calculation without pauses: ΔRMSSD = -12.0 ms, ΔLF/HF = +1.40, ΔHR = +9.0 bpm, escalating cognitive strain into Tier IV Critical Exhaustion.</w:t>
      </w:r>
    </w:p>
    <w:p>
      <w:pPr>
        <w:pStyle w:val="Heading1"/>
        <w:spacing w:before="360" w:after="160"/>
      </w:pPr>
      <w:r>
        <w:rPr>
          <w:b/>
          <w:color w:val="0F172A"/>
          <w:sz w:val="34"/>
        </w:rPr>
        <w:t>7. Experimental Results &amp; Visual Monograph</w:t>
      </w:r>
    </w:p>
    <w:p>
      <w:r>
        <w:t>The figures below illustrate the empirical findings, model explanations, and clinical stratification derived from the Auditya Sutarto cohort (N=30 human participants, 60 trials).</w:t>
      </w:r>
    </w:p>
    <w:p>
      <w:pPr>
        <w:pStyle w:val="Heading2"/>
        <w:spacing w:before="280" w:after="120"/>
      </w:pPr>
      <w:r>
        <w:rPr>
          <w:b/>
          <w:color w:val="0284C7"/>
          <w:sz w:val="27"/>
        </w:rPr>
        <w:t>7.1 Biomarker Correlation Matrix</w:t>
      </w:r>
    </w:p>
    <w:p>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correlation_matrix.png"/>
                    <pic:cNvPicPr/>
                  </pic:nvPicPr>
                  <pic:blipFill>
                    <a:blip r:embed="rId9"/>
                    <a:stretch>
                      <a:fillRect/>
                    </a:stretch>
                  </pic:blipFill>
                  <pic:spPr>
                    <a:xfrm>
                      <a:off x="0" y="0"/>
                      <a:ext cx="5303520" cy="3977640"/>
                    </a:xfrm>
                    <a:prstGeom prst="rect"/>
                  </pic:spPr>
                </pic:pic>
              </a:graphicData>
            </a:graphic>
          </wp:inline>
        </w:drawing>
      </w:r>
    </w:p>
    <w:p>
      <w:pPr>
        <w:jc w:val="center"/>
      </w:pPr>
      <w:r>
        <w:rPr>
          <w:i/>
          <w:sz w:val="17"/>
        </w:rPr>
        <w:t>Figure 1: Autonomic Biotelemetry Correlation Heatmap (HR, SDNN, RMSSD, LF, HF, LF/HF vs. NASA-TLX).</w:t>
      </w:r>
    </w:p>
    <w:p>
      <w:r>
        <w:t>Discussion: The correlation heatmap reveals the complex non-linear relationship between autonomic parameters. While individual linear correlations with NASA-TLX appear modest (e.g., HF r = +0.13, LF/HF r = -0.14), trial status demonstrates a strong negative correlation (r = -0.34), confirming that Trial 1 imposed significantly higher mental demand than Trial 2 across the cohort.</w:t>
      </w:r>
    </w:p>
    <w:p>
      <w:pPr>
        <w:pStyle w:val="Heading2"/>
        <w:spacing w:before="280" w:after="120"/>
      </w:pPr>
      <w:r>
        <w:rPr>
          <w:b/>
          <w:color w:val="0284C7"/>
          <w:sz w:val="27"/>
        </w:rPr>
        <w:t>7.2 Global SHAP Feature Importance Decomposition</w:t>
      </w:r>
    </w:p>
    <w:p>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shap_summary.png"/>
                    <pic:cNvPicPr/>
                  </pic:nvPicPr>
                  <pic:blipFill>
                    <a:blip r:embed="rId10"/>
                    <a:stretch>
                      <a:fillRect/>
                    </a:stretch>
                  </pic:blipFill>
                  <pic:spPr>
                    <a:xfrm>
                      <a:off x="0" y="0"/>
                      <a:ext cx="5303520" cy="2983230"/>
                    </a:xfrm>
                    <a:prstGeom prst="rect"/>
                  </pic:spPr>
                </pic:pic>
              </a:graphicData>
            </a:graphic>
          </wp:inline>
        </w:drawing>
      </w:r>
    </w:p>
    <w:p>
      <w:pPr>
        <w:jc w:val="center"/>
      </w:pPr>
      <w:r>
        <w:rPr>
          <w:i/>
          <w:sz w:val="17"/>
        </w:rPr>
        <w:t>Figure 2: Global Explainability: Mean Absolute SHAP Importance across all 60 participant trials.</w:t>
      </w:r>
    </w:p>
    <w:p>
      <w:r>
        <w:t>Discussion: The SHAP summary confirms that High-Frequency (HF) power and RMSSD (vagal parasympathetic markers) along with Heart Rate (HR) are the strongest global determinants of predicted mental workload. Parasympathetic vagal tone acts as the primary compensatory physiological lever distinguishing relaxed cognitive states from high mental strain.</w:t>
      </w:r>
    </w:p>
    <w:p>
      <w:pPr>
        <w:pStyle w:val="Heading2"/>
        <w:spacing w:before="280" w:after="120"/>
      </w:pPr>
      <w:r>
        <w:rPr>
          <w:b/>
          <w:color w:val="0284C7"/>
          <w:sz w:val="27"/>
        </w:rPr>
        <w:t>7.3 Inter-Trial Cognitive Workload Variance</w:t>
      </w:r>
    </w:p>
    <w:p>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trial1_vs_trial2_comparison.png"/>
                    <pic:cNvPicPr/>
                  </pic:nvPicPr>
                  <pic:blipFill>
                    <a:blip r:embed="rId11"/>
                    <a:stretch>
                      <a:fillRect/>
                    </a:stretch>
                  </pic:blipFill>
                  <pic:spPr>
                    <a:xfrm>
                      <a:off x="0" y="0"/>
                      <a:ext cx="5303520" cy="2651760"/>
                    </a:xfrm>
                    <a:prstGeom prst="rect"/>
                  </pic:spPr>
                </pic:pic>
              </a:graphicData>
            </a:graphic>
          </wp:inline>
        </w:drawing>
      </w:r>
    </w:p>
    <w:p>
      <w:pPr>
        <w:jc w:val="center"/>
      </w:pPr>
      <w:r>
        <w:rPr>
          <w:i/>
          <w:sz w:val="17"/>
        </w:rPr>
        <w:t>Figure 3: Inter-Trial Subjective Mental Demand (NASA-TLX) across 30 participants (Trial 1 vs. Trial 2).</w:t>
      </w:r>
    </w:p>
    <w:p>
      <w:r>
        <w:t>Discussion: Trial 1 exhibited an average NASA-TLX score of 67.50 ± 15.2 points, compared to 56.28 ± 16.4 points in Trial 2. Heart rate was similarly elevated in Trial 1 (89.2 bpm vs 86.1 bpm). This paired shift validates the sensitivity of the Digital Twin to capture acute situational variations in cognitive workload.</w:t>
      </w:r>
    </w:p>
    <w:p>
      <w:pPr>
        <w:pStyle w:val="Heading2"/>
        <w:spacing w:before="280" w:after="120"/>
      </w:pPr>
      <w:r>
        <w:rPr>
          <w:b/>
          <w:color w:val="0284C7"/>
          <w:sz w:val="27"/>
        </w:rPr>
        <w:t>7.4 Cohort Distribution across WHO Clinical Risk Tiers</w:t>
      </w:r>
    </w:p>
    <w:p>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who_risk_distribution.png"/>
                    <pic:cNvPicPr/>
                  </pic:nvPicPr>
                  <pic:blipFill>
                    <a:blip r:embed="rId12"/>
                    <a:stretch>
                      <a:fillRect/>
                    </a:stretch>
                  </pic:blipFill>
                  <pic:spPr>
                    <a:xfrm>
                      <a:off x="0" y="0"/>
                      <a:ext cx="5029200" cy="3592286"/>
                    </a:xfrm>
                    <a:prstGeom prst="rect"/>
                  </pic:spPr>
                </pic:pic>
              </a:graphicData>
            </a:graphic>
          </wp:inline>
        </w:drawing>
      </w:r>
    </w:p>
    <w:p>
      <w:pPr>
        <w:jc w:val="center"/>
      </w:pPr>
      <w:r>
        <w:rPr>
          <w:i/>
          <w:sz w:val="17"/>
        </w:rPr>
        <w:t>Figure 4: WHO Clinical Risk Stratification distribution across the 60 experimental trials.</w:t>
      </w:r>
    </w:p>
    <w:p>
      <w:r>
        <w:t>Discussion: Clinical stratification categorized 43.3% of trials into Tier III (Compensatory Overload Risk) and 25.0% into Tier IV (Critical Exhaustion), reflecting the intense cognitive nature of the experimental arithmetic protocol. Only 18.3% remained in Tier I, demonstrating the high need for active occupational interventions.</w:t>
      </w:r>
    </w:p>
    <w:p>
      <w:pPr>
        <w:pStyle w:val="Heading2"/>
        <w:spacing w:before="280" w:after="120"/>
      </w:pPr>
      <w:r>
        <w:rPr>
          <w:b/>
          <w:color w:val="0284C7"/>
          <w:sz w:val="27"/>
        </w:rPr>
        <w:t>7.5 In Silico Counterfactual Simulation Trajectory</w:t>
      </w:r>
    </w:p>
    <w:p>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counterfactual_simulation.png"/>
                    <pic:cNvPicPr/>
                  </pic:nvPicPr>
                  <pic:blipFill>
                    <a:blip r:embed="rId13"/>
                    <a:stretch>
                      <a:fillRect/>
                    </a:stretch>
                  </pic:blipFill>
                  <pic:spPr>
                    <a:xfrm>
                      <a:off x="0" y="0"/>
                      <a:ext cx="5303520" cy="2651760"/>
                    </a:xfrm>
                    <a:prstGeom prst="rect"/>
                  </pic:spPr>
                </pic:pic>
              </a:graphicData>
            </a:graphic>
          </wp:inline>
        </w:drawing>
      </w:r>
    </w:p>
    <w:p>
      <w:pPr>
        <w:jc w:val="center"/>
      </w:pPr>
      <w:r>
        <w:rPr>
          <w:i/>
          <w:sz w:val="17"/>
        </w:rPr>
        <w:t>Figure 5: In Silico Simulation Trajectory showing vagal restoration via resonant breathing vs. collapse under overwork.</w:t>
      </w:r>
    </w:p>
    <w:p>
      <w:r>
        <w:t>Discussion: Counterfactual simulation of Participant 8 demonstrates that 5 minutes of 0.1 Hz resonant pacing increases RMSSD from 17.8 ms to 32.3 ms, reducing predicted NASA load by 14.8 points and shifting the patient safely out of the critical red zone.</w:t>
      </w:r>
    </w:p>
    <w:p>
      <w:pPr>
        <w:pStyle w:val="Heading1"/>
        <w:spacing w:before="360" w:after="160"/>
      </w:pPr>
      <w:r>
        <w:rPr>
          <w:b/>
          <w:color w:val="0F172A"/>
          <w:sz w:val="34"/>
        </w:rPr>
        <w:t>8. Step-by-Step GitHub Upload &amp; Version Control Manual</w:t>
      </w:r>
    </w:p>
    <w:p>
      <w:r>
        <w:t>To publish this complete project to GitHub under your profile and establish public open-source or private academic version control, execute the following step-by-step procedures in Windows PowerShell or Command Prompt:</w:t>
      </w:r>
    </w:p>
    <w:p>
      <w:r>
        <w:t>STEP 1: Verify Git Installation</w:t>
        <w:br/>
        <w:t>Ensure Git is installed on your workstation by running:</w:t>
        <w:br/>
        <w:t xml:space="preserve">    git --version</w:t>
        <w:br/>
        <w:t>If not installed, download from https://git-scm.com/download/win.</w:t>
        <w:br/>
        <w:br/>
        <w:t>STEP 2: Configure User Identity (Global Git Configuration)</w:t>
        <w:br/>
        <w:t>Set your author credentials:</w:t>
        <w:br/>
        <w:t xml:space="preserve">    git config --global user.name "Ms. Taniya Mondal"</w:t>
        <w:br/>
        <w:t xml:space="preserve">    git config --global user.email "your-email@domain.com"</w:t>
        <w:br/>
        <w:br/>
        <w:t>STEP 3: Initialize Local Git Repository</w:t>
        <w:br/>
        <w:t>Navigate to the project workspace directory:</w:t>
        <w:br/>
        <w:t xml:space="preserve">    cd "C:\Users\arkad\OneDrive\Documents\HRV_MENTAL_HEALTH"</w:t>
        <w:br/>
        <w:t xml:space="preserve">    git init</w:t>
        <w:br/>
        <w:br/>
        <w:t>STEP 4: Stage All Framework Files</w:t>
        <w:br/>
        <w:t>Stage all source code, models, documentation, and dataset files:</w:t>
        <w:br/>
        <w:t xml:space="preserve">    git add .</w:t>
        <w:br/>
        <w:br/>
        <w:t>STEP 5: Create Initial Version 1.0 Release Commit</w:t>
        <w:br/>
        <w:t xml:space="preserve">    git commit -m "Initial Release: WHO-Style Explainable HRV Digital Twin v1.0 by Ms. Taniya Mondal, B.Tech"</w:t>
        <w:br/>
        <w:br/>
        <w:t>STEP 6: Create New Repository on GitHub</w:t>
        <w:br/>
        <w:t>1. Open your browser and go to: https://github.com/new</w:t>
        <w:br/>
        <w:t>2. Repository Name: hrv-cognitive-mental-load-digital-twin</w:t>
        <w:br/>
        <w:t>3. Description: WHO-Style Explainable Digital Twin of Heart Rate Variability and Cognitive Mental Load</w:t>
        <w:br/>
        <w:t>4. Visibility: Select 'Public' or 'Private'</w:t>
        <w:br/>
        <w:t>5. Leave 'Initialize this repository with a README' UNCHECKED (we have already created README.md)</w:t>
        <w:br/>
        <w:t>6. Click 'Create repository'.</w:t>
        <w:br/>
        <w:br/>
        <w:t>STEP 7: Link Local Workspace to GitHub Remote Repository</w:t>
        <w:br/>
        <w:t>Replace &lt;your-github-username&gt; with your actual GitHub username:</w:t>
        <w:br/>
        <w:t xml:space="preserve">    git branch -M main</w:t>
        <w:br/>
        <w:t xml:space="preserve">    git remote add origin https://github.com/&lt;your-github-username&gt;/hrv-cognitive-mental-load-digital-twin.git</w:t>
        <w:br/>
        <w:br/>
        <w:t>STEP 8: Push Local Code to GitHub Main Branch</w:t>
        <w:br/>
        <w:t xml:space="preserve">    git push -u origin main</w:t>
        <w:br/>
        <w:t>(Enter your GitHub personal access token or authenticate via browser when prompted).</w:t>
      </w:r>
    </w:p>
    <w:p>
      <w:pPr>
        <w:pStyle w:val="Heading1"/>
        <w:spacing w:before="360" w:after="160"/>
      </w:pPr>
      <w:r>
        <w:rPr>
          <w:b/>
          <w:color w:val="0F172A"/>
          <w:sz w:val="34"/>
        </w:rPr>
        <w:t>9. Software Manifest &amp; Execution Instructions</w:t>
      </w:r>
    </w:p>
    <w:p>
      <w:r>
        <w:t>The project workspace is structured modularly to facilitate immediate deployment, testing, and clinical integration:</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F172A"/>
            <w:tcMar>
              <w:top w:w="120" w:type="dxa"/>
              <w:bottom w:w="120" w:type="dxa"/>
              <w:left w:w="140" w:type="dxa"/>
              <w:right w:w="140" w:type="dxa"/>
            </w:tcMar>
          </w:tcPr>
          <w:p>
            <w:pPr>
              <w:jc w:val="left"/>
            </w:pPr>
            <w:r>
              <w:rPr>
                <w:b/>
                <w:color w:val="FFFFFF"/>
                <w:sz w:val="19"/>
              </w:rPr>
              <w:t>Path / File</w:t>
            </w:r>
          </w:p>
        </w:tc>
        <w:tc>
          <w:tcPr>
            <w:tcW w:type="dxa" w:w="5040"/>
            <w:shd w:fill="0F172A"/>
            <w:tcMar>
              <w:top w:w="120" w:type="dxa"/>
              <w:bottom w:w="120" w:type="dxa"/>
              <w:left w:w="140" w:type="dxa"/>
              <w:right w:w="140" w:type="dxa"/>
            </w:tcMar>
          </w:tcPr>
          <w:p>
            <w:pPr>
              <w:jc w:val="left"/>
            </w:pPr>
            <w:r>
              <w:rPr>
                <w:b/>
                <w:color w:val="FFFFFF"/>
                <w:sz w:val="19"/>
              </w:rPr>
              <w:t>Component Purpose</w:t>
            </w:r>
          </w:p>
        </w:tc>
        <w:tc>
          <w:tcPr>
            <w:tcW w:type="dxa" w:w="2160"/>
            <w:shd w:fill="0F172A"/>
            <w:tcMar>
              <w:top w:w="120" w:type="dxa"/>
              <w:bottom w:w="120" w:type="dxa"/>
              <w:left w:w="140" w:type="dxa"/>
              <w:right w:w="140" w:type="dxa"/>
            </w:tcMar>
          </w:tcPr>
          <w:p>
            <w:pPr>
              <w:jc w:val="left"/>
            </w:pPr>
            <w:r>
              <w:rPr>
                <w:b/>
                <w:color w:val="FFFFFF"/>
                <w:sz w:val="19"/>
              </w:rPr>
              <w:t>Developer Attribution</w:t>
            </w:r>
          </w:p>
        </w:tc>
      </w:tr>
      <w:tr>
        <w:tc>
          <w:tcPr>
            <w:tcW w:type="dxa" w:w="3168"/>
            <w:shd w:fill="FFFFFF"/>
            <w:tcMar>
              <w:top w:w="80" w:type="dxa"/>
              <w:bottom w:w="80" w:type="dxa"/>
              <w:left w:w="120" w:type="dxa"/>
              <w:right w:w="120" w:type="dxa"/>
            </w:tcMar>
          </w:tcPr>
          <w:p>
            <w:pPr>
              <w:jc w:val="left"/>
            </w:pPr>
            <w:r>
              <w:rPr>
                <w:color w:val="334155"/>
                <w:sz w:val="18"/>
              </w:rPr>
              <w:t>twin_core/data_loader.py</w:t>
            </w:r>
          </w:p>
        </w:tc>
        <w:tc>
          <w:tcPr>
            <w:tcW w:type="dxa" w:w="5040"/>
            <w:shd w:fill="FFFFFF"/>
            <w:tcMar>
              <w:top w:w="80" w:type="dxa"/>
              <w:bottom w:w="80" w:type="dxa"/>
              <w:left w:w="120" w:type="dxa"/>
              <w:right w:w="120" w:type="dxa"/>
            </w:tcMar>
          </w:tcPr>
          <w:p>
            <w:pPr>
              <w:jc w:val="left"/>
            </w:pPr>
            <w:r>
              <w:rPr>
                <w:color w:val="334155"/>
                <w:sz w:val="18"/>
              </w:rPr>
              <w:t>Data ingestion, artifact detection, and participant profiling</w:t>
            </w:r>
          </w:p>
        </w:tc>
        <w:tc>
          <w:tcPr>
            <w:tcW w:type="dxa" w:w="2160"/>
            <w:shd w:fill="FFFFFF"/>
            <w:tcMar>
              <w:top w:w="80" w:type="dxa"/>
              <w:bottom w:w="80" w:type="dxa"/>
              <w:left w:w="120" w:type="dxa"/>
              <w:right w:w="120" w:type="dxa"/>
            </w:tcMar>
          </w:tcPr>
          <w:p>
            <w:pPr>
              <w:jc w:val="left"/>
            </w:pPr>
            <w:r>
              <w:rPr>
                <w:color w:val="334155"/>
                <w:sz w:val="18"/>
              </w:rPr>
              <w:t>Ms. Taniya Mondal, B.Tech</w:t>
            </w:r>
          </w:p>
        </w:tc>
      </w:tr>
      <w:tr>
        <w:tc>
          <w:tcPr>
            <w:tcW w:type="dxa" w:w="3168"/>
            <w:shd w:fill="F8FAFC"/>
            <w:tcMar>
              <w:top w:w="80" w:type="dxa"/>
              <w:bottom w:w="80" w:type="dxa"/>
              <w:left w:w="120" w:type="dxa"/>
              <w:right w:w="120" w:type="dxa"/>
            </w:tcMar>
          </w:tcPr>
          <w:p>
            <w:pPr>
              <w:jc w:val="left"/>
            </w:pPr>
            <w:r>
              <w:rPr>
                <w:color w:val="334155"/>
                <w:sz w:val="18"/>
              </w:rPr>
              <w:t>twin_core/who_standards.py</w:t>
            </w:r>
          </w:p>
        </w:tc>
        <w:tc>
          <w:tcPr>
            <w:tcW w:type="dxa" w:w="5040"/>
            <w:shd w:fill="F8FAFC"/>
            <w:tcMar>
              <w:top w:w="80" w:type="dxa"/>
              <w:bottom w:w="80" w:type="dxa"/>
              <w:left w:w="120" w:type="dxa"/>
              <w:right w:w="120" w:type="dxa"/>
            </w:tcMar>
          </w:tcPr>
          <w:p>
            <w:pPr>
              <w:jc w:val="left"/>
            </w:pPr>
            <w:r>
              <w:rPr>
                <w:color w:val="334155"/>
                <w:sz w:val="18"/>
              </w:rPr>
              <w:t>WHO clinical guidelines, 4-tier stratification, prescriptions</w:t>
            </w:r>
          </w:p>
        </w:tc>
        <w:tc>
          <w:tcPr>
            <w:tcW w:type="dxa" w:w="2160"/>
            <w:shd w:fill="F8FAFC"/>
            <w:tcMar>
              <w:top w:w="80" w:type="dxa"/>
              <w:bottom w:w="80" w:type="dxa"/>
              <w:left w:w="120" w:type="dxa"/>
              <w:right w:w="120" w:type="dxa"/>
            </w:tcMar>
          </w:tcPr>
          <w:p>
            <w:pPr>
              <w:jc w:val="left"/>
            </w:pPr>
            <w:r>
              <w:rPr>
                <w:color w:val="334155"/>
                <w:sz w:val="18"/>
              </w:rPr>
              <w:t>Ms. Taniya Mondal, B.Tech</w:t>
            </w:r>
          </w:p>
        </w:tc>
      </w:tr>
      <w:tr>
        <w:tc>
          <w:tcPr>
            <w:tcW w:type="dxa" w:w="3168"/>
            <w:shd w:fill="FFFFFF"/>
            <w:tcMar>
              <w:top w:w="80" w:type="dxa"/>
              <w:bottom w:w="80" w:type="dxa"/>
              <w:left w:w="120" w:type="dxa"/>
              <w:right w:w="120" w:type="dxa"/>
            </w:tcMar>
          </w:tcPr>
          <w:p>
            <w:pPr>
              <w:jc w:val="left"/>
            </w:pPr>
            <w:r>
              <w:rPr>
                <w:color w:val="334155"/>
                <w:sz w:val="18"/>
              </w:rPr>
              <w:t>twin_core/models.py</w:t>
            </w:r>
          </w:p>
        </w:tc>
        <w:tc>
          <w:tcPr>
            <w:tcW w:type="dxa" w:w="5040"/>
            <w:shd w:fill="FFFFFF"/>
            <w:tcMar>
              <w:top w:w="80" w:type="dxa"/>
              <w:bottom w:w="80" w:type="dxa"/>
              <w:left w:w="120" w:type="dxa"/>
              <w:right w:w="120" w:type="dxa"/>
            </w:tcMar>
          </w:tcPr>
          <w:p>
            <w:pPr>
              <w:jc w:val="left"/>
            </w:pPr>
            <w:r>
              <w:rPr>
                <w:color w:val="334155"/>
                <w:sz w:val="18"/>
              </w:rPr>
              <w:t>Machine learning model pipelines &amp; GroupKFold cross-validation</w:t>
            </w:r>
          </w:p>
        </w:tc>
        <w:tc>
          <w:tcPr>
            <w:tcW w:type="dxa" w:w="2160"/>
            <w:shd w:fill="FFFFFF"/>
            <w:tcMar>
              <w:top w:w="80" w:type="dxa"/>
              <w:bottom w:w="80" w:type="dxa"/>
              <w:left w:w="120" w:type="dxa"/>
              <w:right w:w="120" w:type="dxa"/>
            </w:tcMar>
          </w:tcPr>
          <w:p>
            <w:pPr>
              <w:jc w:val="left"/>
            </w:pPr>
            <w:r>
              <w:rPr>
                <w:color w:val="334155"/>
                <w:sz w:val="18"/>
              </w:rPr>
              <w:t>Ms. Taniya Mondal, B.Tech</w:t>
            </w:r>
          </w:p>
        </w:tc>
      </w:tr>
      <w:tr>
        <w:tc>
          <w:tcPr>
            <w:tcW w:type="dxa" w:w="3168"/>
            <w:shd w:fill="F8FAFC"/>
            <w:tcMar>
              <w:top w:w="80" w:type="dxa"/>
              <w:bottom w:w="80" w:type="dxa"/>
              <w:left w:w="120" w:type="dxa"/>
              <w:right w:w="120" w:type="dxa"/>
            </w:tcMar>
          </w:tcPr>
          <w:p>
            <w:pPr>
              <w:jc w:val="left"/>
            </w:pPr>
            <w:r>
              <w:rPr>
                <w:color w:val="334155"/>
                <w:sz w:val="18"/>
              </w:rPr>
              <w:t>twin_core/explainability.py</w:t>
            </w:r>
          </w:p>
        </w:tc>
        <w:tc>
          <w:tcPr>
            <w:tcW w:type="dxa" w:w="5040"/>
            <w:shd w:fill="F8FAFC"/>
            <w:tcMar>
              <w:top w:w="80" w:type="dxa"/>
              <w:bottom w:w="80" w:type="dxa"/>
              <w:left w:w="120" w:type="dxa"/>
              <w:right w:w="120" w:type="dxa"/>
            </w:tcMar>
          </w:tcPr>
          <w:p>
            <w:pPr>
              <w:jc w:val="left"/>
            </w:pPr>
            <w:r>
              <w:rPr>
                <w:color w:val="334155"/>
                <w:sz w:val="18"/>
              </w:rPr>
              <w:t>TreeSHAP attribution, WHO clinical narrative generator</w:t>
            </w:r>
          </w:p>
        </w:tc>
        <w:tc>
          <w:tcPr>
            <w:tcW w:type="dxa" w:w="2160"/>
            <w:shd w:fill="F8FAFC"/>
            <w:tcMar>
              <w:top w:w="80" w:type="dxa"/>
              <w:bottom w:w="80" w:type="dxa"/>
              <w:left w:w="120" w:type="dxa"/>
              <w:right w:w="120" w:type="dxa"/>
            </w:tcMar>
          </w:tcPr>
          <w:p>
            <w:pPr>
              <w:jc w:val="left"/>
            </w:pPr>
            <w:r>
              <w:rPr>
                <w:color w:val="334155"/>
                <w:sz w:val="18"/>
              </w:rPr>
              <w:t>Ms. Taniya Mondal, B.Tech</w:t>
            </w:r>
          </w:p>
        </w:tc>
      </w:tr>
      <w:tr>
        <w:tc>
          <w:tcPr>
            <w:tcW w:type="dxa" w:w="3168"/>
            <w:shd w:fill="FFFFFF"/>
            <w:tcMar>
              <w:top w:w="80" w:type="dxa"/>
              <w:bottom w:w="80" w:type="dxa"/>
              <w:left w:w="120" w:type="dxa"/>
              <w:right w:w="120" w:type="dxa"/>
            </w:tcMar>
          </w:tcPr>
          <w:p>
            <w:pPr>
              <w:jc w:val="left"/>
            </w:pPr>
            <w:r>
              <w:rPr>
                <w:color w:val="334155"/>
                <w:sz w:val="18"/>
              </w:rPr>
              <w:t>twin_core/digital_twin.py</w:t>
            </w:r>
          </w:p>
        </w:tc>
        <w:tc>
          <w:tcPr>
            <w:tcW w:type="dxa" w:w="5040"/>
            <w:shd w:fill="FFFFFF"/>
            <w:tcMar>
              <w:top w:w="80" w:type="dxa"/>
              <w:bottom w:w="80" w:type="dxa"/>
              <w:left w:w="120" w:type="dxa"/>
              <w:right w:w="120" w:type="dxa"/>
            </w:tcMar>
          </w:tcPr>
          <w:p>
            <w:pPr>
              <w:jc w:val="left"/>
            </w:pPr>
            <w:r>
              <w:rPr>
                <w:color w:val="334155"/>
                <w:sz w:val="18"/>
              </w:rPr>
              <w:t>HRV Digital Twin avatar &amp; in silico counterfactual simulator</w:t>
            </w:r>
          </w:p>
        </w:tc>
        <w:tc>
          <w:tcPr>
            <w:tcW w:type="dxa" w:w="2160"/>
            <w:shd w:fill="FFFFFF"/>
            <w:tcMar>
              <w:top w:w="80" w:type="dxa"/>
              <w:bottom w:w="80" w:type="dxa"/>
              <w:left w:w="120" w:type="dxa"/>
              <w:right w:w="120" w:type="dxa"/>
            </w:tcMar>
          </w:tcPr>
          <w:p>
            <w:pPr>
              <w:jc w:val="left"/>
            </w:pPr>
            <w:r>
              <w:rPr>
                <w:color w:val="334155"/>
                <w:sz w:val="18"/>
              </w:rPr>
              <w:t>Ms. Taniya Mondal, B.Tech</w:t>
            </w:r>
          </w:p>
        </w:tc>
      </w:tr>
      <w:tr>
        <w:tc>
          <w:tcPr>
            <w:tcW w:type="dxa" w:w="3168"/>
            <w:shd w:fill="F8FAFC"/>
            <w:tcMar>
              <w:top w:w="80" w:type="dxa"/>
              <w:bottom w:w="80" w:type="dxa"/>
              <w:left w:w="120" w:type="dxa"/>
              <w:right w:w="120" w:type="dxa"/>
            </w:tcMar>
          </w:tcPr>
          <w:p>
            <w:pPr>
              <w:jc w:val="left"/>
            </w:pPr>
            <w:r>
              <w:rPr>
                <w:color w:val="334155"/>
                <w:sz w:val="18"/>
              </w:rPr>
              <w:t>web_app/app.py</w:t>
            </w:r>
          </w:p>
        </w:tc>
        <w:tc>
          <w:tcPr>
            <w:tcW w:type="dxa" w:w="5040"/>
            <w:shd w:fill="F8FAFC"/>
            <w:tcMar>
              <w:top w:w="80" w:type="dxa"/>
              <w:bottom w:w="80" w:type="dxa"/>
              <w:left w:w="120" w:type="dxa"/>
              <w:right w:w="120" w:type="dxa"/>
            </w:tcMar>
          </w:tcPr>
          <w:p>
            <w:pPr>
              <w:jc w:val="left"/>
            </w:pPr>
            <w:r>
              <w:rPr>
                <w:color w:val="334155"/>
                <w:sz w:val="18"/>
              </w:rPr>
              <w:t>Flask web application &amp; REST API server</w:t>
            </w:r>
          </w:p>
        </w:tc>
        <w:tc>
          <w:tcPr>
            <w:tcW w:type="dxa" w:w="2160"/>
            <w:shd w:fill="F8FAFC"/>
            <w:tcMar>
              <w:top w:w="80" w:type="dxa"/>
              <w:bottom w:w="80" w:type="dxa"/>
              <w:left w:w="120" w:type="dxa"/>
              <w:right w:w="120" w:type="dxa"/>
            </w:tcMar>
          </w:tcPr>
          <w:p>
            <w:pPr>
              <w:jc w:val="left"/>
            </w:pPr>
            <w:r>
              <w:rPr>
                <w:color w:val="334155"/>
                <w:sz w:val="18"/>
              </w:rPr>
              <w:t>Ms. Taniya Mondal, B.Tech</w:t>
            </w:r>
          </w:p>
        </w:tc>
      </w:tr>
      <w:tr>
        <w:tc>
          <w:tcPr>
            <w:tcW w:type="dxa" w:w="3168"/>
            <w:shd w:fill="FFFFFF"/>
            <w:tcMar>
              <w:top w:w="80" w:type="dxa"/>
              <w:bottom w:w="80" w:type="dxa"/>
              <w:left w:w="120" w:type="dxa"/>
              <w:right w:w="120" w:type="dxa"/>
            </w:tcMar>
          </w:tcPr>
          <w:p>
            <w:pPr>
              <w:jc w:val="left"/>
            </w:pPr>
            <w:r>
              <w:rPr>
                <w:color w:val="334155"/>
                <w:sz w:val="18"/>
              </w:rPr>
              <w:t>web_app/templates/index.html</w:t>
            </w:r>
          </w:p>
        </w:tc>
        <w:tc>
          <w:tcPr>
            <w:tcW w:type="dxa" w:w="5040"/>
            <w:shd w:fill="FFFFFF"/>
            <w:tcMar>
              <w:top w:w="80" w:type="dxa"/>
              <w:bottom w:w="80" w:type="dxa"/>
              <w:left w:w="120" w:type="dxa"/>
              <w:right w:w="120" w:type="dxa"/>
            </w:tcMar>
          </w:tcPr>
          <w:p>
            <w:pPr>
              <w:jc w:val="left"/>
            </w:pPr>
            <w:r>
              <w:rPr>
                <w:color w:val="334155"/>
                <w:sz w:val="18"/>
              </w:rPr>
              <w:t>Responsive WHO-themed Web UI dashboard</w:t>
            </w:r>
          </w:p>
        </w:tc>
        <w:tc>
          <w:tcPr>
            <w:tcW w:type="dxa" w:w="2160"/>
            <w:shd w:fill="FFFFFF"/>
            <w:tcMar>
              <w:top w:w="80" w:type="dxa"/>
              <w:bottom w:w="80" w:type="dxa"/>
              <w:left w:w="120" w:type="dxa"/>
              <w:right w:w="120" w:type="dxa"/>
            </w:tcMar>
          </w:tcPr>
          <w:p>
            <w:pPr>
              <w:jc w:val="left"/>
            </w:pPr>
            <w:r>
              <w:rPr>
                <w:color w:val="334155"/>
                <w:sz w:val="18"/>
              </w:rPr>
              <w:t>Ms. Taniya Mondal, B.Tech</w:t>
            </w:r>
          </w:p>
        </w:tc>
      </w:tr>
      <w:tr>
        <w:tc>
          <w:tcPr>
            <w:tcW w:type="dxa" w:w="3168"/>
            <w:shd w:fill="F8FAFC"/>
            <w:tcMar>
              <w:top w:w="80" w:type="dxa"/>
              <w:bottom w:w="80" w:type="dxa"/>
              <w:left w:w="120" w:type="dxa"/>
              <w:right w:w="120" w:type="dxa"/>
            </w:tcMar>
          </w:tcPr>
          <w:p>
            <w:pPr>
              <w:jc w:val="left"/>
            </w:pPr>
            <w:r>
              <w:rPr>
                <w:color w:val="334155"/>
                <w:sz w:val="18"/>
              </w:rPr>
              <w:t>web_app/static/js/dashboard.js</w:t>
            </w:r>
          </w:p>
        </w:tc>
        <w:tc>
          <w:tcPr>
            <w:tcW w:type="dxa" w:w="5040"/>
            <w:shd w:fill="F8FAFC"/>
            <w:tcMar>
              <w:top w:w="80" w:type="dxa"/>
              <w:bottom w:w="80" w:type="dxa"/>
              <w:left w:w="120" w:type="dxa"/>
              <w:right w:w="120" w:type="dxa"/>
            </w:tcMar>
          </w:tcPr>
          <w:p>
            <w:pPr>
              <w:jc w:val="left"/>
            </w:pPr>
            <w:r>
              <w:rPr>
                <w:color w:val="334155"/>
                <w:sz w:val="18"/>
              </w:rPr>
              <w:t>Interactive client logic &amp; 0.1 Hz breathing guide pacer</w:t>
            </w:r>
          </w:p>
        </w:tc>
        <w:tc>
          <w:tcPr>
            <w:tcW w:type="dxa" w:w="2160"/>
            <w:shd w:fill="F8FAFC"/>
            <w:tcMar>
              <w:top w:w="80" w:type="dxa"/>
              <w:bottom w:w="80" w:type="dxa"/>
              <w:left w:w="120" w:type="dxa"/>
              <w:right w:w="120" w:type="dxa"/>
            </w:tcMar>
          </w:tcPr>
          <w:p>
            <w:pPr>
              <w:jc w:val="left"/>
            </w:pPr>
            <w:r>
              <w:rPr>
                <w:color w:val="334155"/>
                <w:sz w:val="18"/>
              </w:rPr>
              <w:t>Ms. Taniya Mondal, B.Tech</w:t>
            </w:r>
          </w:p>
        </w:tc>
      </w:tr>
      <w:tr>
        <w:tc>
          <w:tcPr>
            <w:tcW w:type="dxa" w:w="3168"/>
            <w:shd w:fill="FFFFFF"/>
            <w:tcMar>
              <w:top w:w="80" w:type="dxa"/>
              <w:bottom w:w="80" w:type="dxa"/>
              <w:left w:w="120" w:type="dxa"/>
              <w:right w:w="120" w:type="dxa"/>
            </w:tcMar>
          </w:tcPr>
          <w:p>
            <w:pPr>
              <w:jc w:val="left"/>
            </w:pPr>
            <w:r>
              <w:rPr>
                <w:color w:val="334155"/>
                <w:sz w:val="18"/>
              </w:rPr>
              <w:t>train_and_evaluate.py</w:t>
            </w:r>
          </w:p>
        </w:tc>
        <w:tc>
          <w:tcPr>
            <w:tcW w:type="dxa" w:w="5040"/>
            <w:shd w:fill="FFFFFF"/>
            <w:tcMar>
              <w:top w:w="80" w:type="dxa"/>
              <w:bottom w:w="80" w:type="dxa"/>
              <w:left w:w="120" w:type="dxa"/>
              <w:right w:w="120" w:type="dxa"/>
            </w:tcMar>
          </w:tcPr>
          <w:p>
            <w:pPr>
              <w:jc w:val="left"/>
            </w:pPr>
            <w:r>
              <w:rPr>
                <w:color w:val="334155"/>
                <w:sz w:val="18"/>
              </w:rPr>
              <w:t>CLI training script and publication figure generator</w:t>
            </w:r>
          </w:p>
        </w:tc>
        <w:tc>
          <w:tcPr>
            <w:tcW w:type="dxa" w:w="2160"/>
            <w:shd w:fill="FFFFFF"/>
            <w:tcMar>
              <w:top w:w="80" w:type="dxa"/>
              <w:bottom w:w="80" w:type="dxa"/>
              <w:left w:w="120" w:type="dxa"/>
              <w:right w:w="120" w:type="dxa"/>
            </w:tcMar>
          </w:tcPr>
          <w:p>
            <w:pPr>
              <w:jc w:val="left"/>
            </w:pPr>
            <w:r>
              <w:rPr>
                <w:color w:val="334155"/>
                <w:sz w:val="18"/>
              </w:rPr>
              <w:t>Ms. Taniya Mondal, B.Tech</w:t>
            </w:r>
          </w:p>
        </w:tc>
      </w:tr>
      <w:tr>
        <w:tc>
          <w:tcPr>
            <w:tcW w:type="dxa" w:w="3168"/>
            <w:shd w:fill="F8FAFC"/>
            <w:tcMar>
              <w:top w:w="80" w:type="dxa"/>
              <w:bottom w:w="80" w:type="dxa"/>
              <w:left w:w="120" w:type="dxa"/>
              <w:right w:w="120" w:type="dxa"/>
            </w:tcMar>
          </w:tcPr>
          <w:p>
            <w:pPr>
              <w:jc w:val="left"/>
            </w:pPr>
            <w:r>
              <w:rPr>
                <w:color w:val="334155"/>
                <w:sz w:val="18"/>
              </w:rPr>
              <w:t>run_dashboard.bat</w:t>
            </w:r>
          </w:p>
        </w:tc>
        <w:tc>
          <w:tcPr>
            <w:tcW w:type="dxa" w:w="5040"/>
            <w:shd w:fill="F8FAFC"/>
            <w:tcMar>
              <w:top w:w="80" w:type="dxa"/>
              <w:bottom w:w="80" w:type="dxa"/>
              <w:left w:w="120" w:type="dxa"/>
              <w:right w:w="120" w:type="dxa"/>
            </w:tcMar>
          </w:tcPr>
          <w:p>
            <w:pPr>
              <w:jc w:val="left"/>
            </w:pPr>
            <w:r>
              <w:rPr>
                <w:color w:val="334155"/>
                <w:sz w:val="18"/>
              </w:rPr>
              <w:t>One-click Windows batch launcher for dashboard</w:t>
            </w:r>
          </w:p>
        </w:tc>
        <w:tc>
          <w:tcPr>
            <w:tcW w:type="dxa" w:w="2160"/>
            <w:shd w:fill="F8FAFC"/>
            <w:tcMar>
              <w:top w:w="80" w:type="dxa"/>
              <w:bottom w:w="80" w:type="dxa"/>
              <w:left w:w="120" w:type="dxa"/>
              <w:right w:w="120" w:type="dxa"/>
            </w:tcMar>
          </w:tcPr>
          <w:p>
            <w:pPr>
              <w:jc w:val="left"/>
            </w:pPr>
            <w:r>
              <w:rPr>
                <w:color w:val="334155"/>
                <w:sz w:val="18"/>
              </w:rPr>
              <w:t>Ms. Taniya Mondal, B.Tech</w:t>
            </w:r>
          </w:p>
        </w:tc>
      </w:tr>
      <w:tr>
        <w:tc>
          <w:tcPr>
            <w:tcW w:type="dxa" w:w="3168"/>
            <w:shd w:fill="FFFFFF"/>
            <w:tcMar>
              <w:top w:w="80" w:type="dxa"/>
              <w:bottom w:w="80" w:type="dxa"/>
              <w:left w:w="120" w:type="dxa"/>
              <w:right w:w="120" w:type="dxa"/>
            </w:tcMar>
          </w:tcPr>
          <w:p>
            <w:pPr>
              <w:jc w:val="left"/>
            </w:pPr>
            <w:r>
              <w:rPr>
                <w:color w:val="334155"/>
                <w:sz w:val="18"/>
              </w:rPr>
              <w:t>README.md</w:t>
            </w:r>
          </w:p>
        </w:tc>
        <w:tc>
          <w:tcPr>
            <w:tcW w:type="dxa" w:w="5040"/>
            <w:shd w:fill="FFFFFF"/>
            <w:tcMar>
              <w:top w:w="80" w:type="dxa"/>
              <w:bottom w:w="80" w:type="dxa"/>
              <w:left w:w="120" w:type="dxa"/>
              <w:right w:w="120" w:type="dxa"/>
            </w:tcMar>
          </w:tcPr>
          <w:p>
            <w:pPr>
              <w:jc w:val="left"/>
            </w:pPr>
            <w:r>
              <w:rPr>
                <w:color w:val="334155"/>
                <w:sz w:val="18"/>
              </w:rPr>
              <w:t>Complete GitHub documentation with badges and architecture</w:t>
            </w:r>
          </w:p>
        </w:tc>
        <w:tc>
          <w:tcPr>
            <w:tcW w:type="dxa" w:w="2160"/>
            <w:shd w:fill="FFFFFF"/>
            <w:tcMar>
              <w:top w:w="80" w:type="dxa"/>
              <w:bottom w:w="80" w:type="dxa"/>
              <w:left w:w="120" w:type="dxa"/>
              <w:right w:w="120" w:type="dxa"/>
            </w:tcMar>
          </w:tcPr>
          <w:p>
            <w:pPr>
              <w:jc w:val="left"/>
            </w:pPr>
            <w:r>
              <w:rPr>
                <w:color w:val="334155"/>
                <w:sz w:val="18"/>
              </w:rPr>
              <w:t>Ms. Taniya Mondal, B.Tech</w:t>
            </w:r>
          </w:p>
        </w:tc>
      </w:tr>
    </w:tbl>
    <w:p>
      <w:pPr>
        <w:spacing w:after="160"/>
      </w:pPr>
    </w:p>
    <w:p>
      <w:pPr>
        <w:pStyle w:val="Heading1"/>
        <w:spacing w:before="360" w:after="160"/>
      </w:pPr>
      <w:r>
        <w:rPr>
          <w:b/>
          <w:color w:val="0F172A"/>
          <w:sz w:val="34"/>
        </w:rPr>
        <w:t>10. Scientific References</w:t>
      </w:r>
    </w:p>
    <w:p>
      <w:pPr>
        <w:spacing w:after="80"/>
      </w:pPr>
      <w:r>
        <w:rPr>
          <w:sz w:val="18"/>
        </w:rPr>
        <w:t>1. Sutarto, A. (2020). Heart Rate Variability and Cognitive Mental Load Dataset. Kaggle. https://www.kaggle.com/datasets/audityasutarto/heart-rate-variability-and-cognitive-mental-load</w:t>
      </w:r>
    </w:p>
    <w:p>
      <w:pPr>
        <w:spacing w:after="80"/>
      </w:pPr>
      <w:r>
        <w:rPr>
          <w:sz w:val="18"/>
        </w:rPr>
        <w:t>2. World Health Organization. (2022). WHO Guidelines on Mental Health at Work. World Health Organization, Geneva.</w:t>
      </w:r>
    </w:p>
    <w:p>
      <w:pPr>
        <w:spacing w:after="80"/>
      </w:pPr>
      <w:r>
        <w:rPr>
          <w:sz w:val="18"/>
        </w:rPr>
        <w:t>3. World Health Organization. (2021). Global Strategy on Digital Health 2020–2025. World Health Organization, Geneva.</w:t>
      </w:r>
    </w:p>
    <w:p>
      <w:pPr>
        <w:spacing w:after="80"/>
      </w:pPr>
      <w:r>
        <w:rPr>
          <w:sz w:val="18"/>
        </w:rPr>
        <w:t>4. Task Force of the European Society of Cardiology and the North American Society of Pacing and Electrophysiology. (1996). Heart rate variability: standards of measurement, physiological interpretation and clinical use. Circulation, 93(5), 1043-1065.</w:t>
      </w:r>
    </w:p>
    <w:p>
      <w:pPr>
        <w:spacing w:after="80"/>
      </w:pPr>
      <w:r>
        <w:rPr>
          <w:sz w:val="18"/>
        </w:rPr>
        <w:t>5. Lundberg, S. M., &amp; Lee, S. I. (2017). A unified approach to interpreting model predictions. Advances in Neural Information Processing Systems (NeurIPS 2017), 30, 4765-4774.</w:t>
      </w:r>
    </w:p>
    <w:p>
      <w:pPr>
        <w:spacing w:after="80"/>
      </w:pPr>
      <w:r>
        <w:rPr>
          <w:sz w:val="18"/>
        </w:rPr>
        <w:t>6. Hart, S. G., &amp; Staveland, L. E. (1988). Development of NASA-TLX (Task Load Index): Results of empirical and theoretical research. Advances in Psychology, 52, 139-183.</w:t>
      </w:r>
    </w:p>
    <w:p>
      <w:pPr>
        <w:spacing w:after="80"/>
      </w:pPr>
      <w:r>
        <w:rPr>
          <w:sz w:val="18"/>
        </w:rPr>
        <w:t>7. Lehrer, P. M., &amp; Gevirtz, R. (2014). Heart rate variability biofeedback: how and why does it work? Frontiers in Psychology, 5, 756.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