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4E34" w14:textId="16D3E1C8" w:rsidR="00FF1F60" w:rsidRDefault="00804F0C" w:rsidP="00FF1F60">
      <w:pPr>
        <w:pStyle w:val="berschrift1"/>
        <w:rPr>
          <w:b/>
          <w:bCs/>
        </w:rPr>
      </w:pPr>
      <w:r w:rsidRPr="00804F0C">
        <w:rPr>
          <w:b/>
          <w:bCs/>
        </w:rPr>
        <w:t>Workshop: Optionen, Black-Scholes-</w:t>
      </w:r>
      <w:r w:rsidR="006145E6">
        <w:rPr>
          <w:b/>
          <w:bCs/>
        </w:rPr>
        <w:t>Merton-</w:t>
      </w:r>
      <w:r w:rsidRPr="00804F0C">
        <w:rPr>
          <w:b/>
          <w:bCs/>
        </w:rPr>
        <w:t>Modell und Monte-Carlo Simulation</w:t>
      </w:r>
    </w:p>
    <w:p w14:paraId="17DC64A2" w14:textId="77777777" w:rsidR="00023061" w:rsidRDefault="00023061" w:rsidP="00023061"/>
    <w:p w14:paraId="28F170F2" w14:textId="3C928F93" w:rsidR="00C862EE" w:rsidRDefault="00023061" w:rsidP="00023061">
      <w:pPr>
        <w:rPr>
          <w:lang w:val="de-DE"/>
        </w:rPr>
      </w:pPr>
      <w:r w:rsidRPr="00023061">
        <w:rPr>
          <w:lang w:val="de-DE"/>
        </w:rPr>
        <w:t>Dieser Workshop b</w:t>
      </w:r>
      <w:r>
        <w:rPr>
          <w:lang w:val="de-DE"/>
        </w:rPr>
        <w:t xml:space="preserve">eschäftigt sich mit dem Black-Scholes-Merton-Modell (auch bekannt als Black-Scholes-Modell) zur Preisbestimmung sogenannter Optionen. </w:t>
      </w:r>
      <w:r>
        <w:rPr>
          <w:lang w:val="de-DE"/>
        </w:rPr>
        <w:br/>
        <w:t xml:space="preserve">Die Option ist ein Finanzprodukt, welches sich auf ein zugrunde liegendes Produkt am Finanzmarkt bezieht (Basis/Underlying). Der Inhaber der Option bezahlt eine Prämie, um zu einem gewissen Zeitpunkt das Kaufrecht auf das zugrunde liegende Finanzprodukt zu einem vorher festgelegten Preis zu erhalten. </w:t>
      </w:r>
      <w:r w:rsidR="00FF2566">
        <w:rPr>
          <w:lang w:val="de-DE"/>
        </w:rPr>
        <w:t xml:space="preserve">Die Prämie wird bei der Berechnung des Optionswertes nicht berücksichtigt, da das Modell </w:t>
      </w:r>
      <w:r w:rsidR="00D1462D">
        <w:rPr>
          <w:lang w:val="de-DE"/>
        </w:rPr>
        <w:t>das Payout</w:t>
      </w:r>
      <w:r w:rsidR="00FF2566">
        <w:rPr>
          <w:lang w:val="de-DE"/>
        </w:rPr>
        <w:t xml:space="preserve"> und damit den Marktpreis bestimmt.</w:t>
      </w:r>
      <w:r w:rsidR="00F83E7D">
        <w:rPr>
          <w:lang w:val="de-DE"/>
        </w:rPr>
        <w:t xml:space="preserve"> </w:t>
      </w:r>
      <w:r>
        <w:rPr>
          <w:lang w:val="de-DE"/>
        </w:rPr>
        <w:t xml:space="preserve">Aufgrund der ökonomischen Bedeutung wurde </w:t>
      </w:r>
      <w:r w:rsidR="00C862EE">
        <w:rPr>
          <w:lang w:val="de-DE"/>
        </w:rPr>
        <w:t>1997 der Nobelpreis für Wirtschaftswissenschaften für diese Errungenschaft an Scholes und Merton verliehen</w:t>
      </w:r>
      <w:r w:rsidR="00F83E7D">
        <w:rPr>
          <w:lang w:val="de-DE"/>
        </w:rPr>
        <w:t xml:space="preserve"> (Fischer </w:t>
      </w:r>
      <w:r w:rsidR="00F83E7D" w:rsidRPr="00F83E7D">
        <w:rPr>
          <w:lang w:val="de-DE"/>
        </w:rPr>
        <w:t>†</w:t>
      </w:r>
      <w:r w:rsidR="00F83E7D">
        <w:rPr>
          <w:lang w:val="de-DE"/>
        </w:rPr>
        <w:t>1995)</w:t>
      </w:r>
      <w:r w:rsidR="00C862EE">
        <w:rPr>
          <w:lang w:val="de-DE"/>
        </w:rPr>
        <w:t xml:space="preserve">. </w:t>
      </w:r>
    </w:p>
    <w:p w14:paraId="38A5C260" w14:textId="70C45AB1" w:rsidR="00023061" w:rsidRDefault="00C862EE" w:rsidP="00023061">
      <w:pPr>
        <w:rPr>
          <w:lang w:val="de-DE"/>
        </w:rPr>
      </w:pPr>
      <w:r>
        <w:rPr>
          <w:lang w:val="de-DE"/>
        </w:rPr>
        <w:t>Der Workshop</w:t>
      </w:r>
      <w:r w:rsidR="00023061">
        <w:rPr>
          <w:lang w:val="de-DE"/>
        </w:rPr>
        <w:t xml:space="preserve"> konzentriert sich im Folgenden auf den Wert</w:t>
      </w:r>
      <w:r w:rsidR="001A4B1D">
        <w:rPr>
          <w:lang w:val="de-DE"/>
        </w:rPr>
        <w:t xml:space="preserve"> der</w:t>
      </w:r>
      <w:r w:rsidR="00023061">
        <w:rPr>
          <w:lang w:val="de-DE"/>
        </w:rPr>
        <w:t xml:space="preserve"> Europäischen Call-</w:t>
      </w:r>
      <w:r w:rsidR="001A4B1D">
        <w:rPr>
          <w:lang w:val="de-DE"/>
        </w:rPr>
        <w:t xml:space="preserve"> und Put-</w:t>
      </w:r>
      <w:r w:rsidR="00023061">
        <w:rPr>
          <w:lang w:val="de-DE"/>
        </w:rPr>
        <w:t xml:space="preserve">Option aus der Sicht </w:t>
      </w:r>
      <w:r w:rsidR="00023061" w:rsidRPr="005C73B6">
        <w:rPr>
          <w:lang w:val="de-DE"/>
        </w:rPr>
        <w:t>des Käufers, d.h. der Long-Position</w:t>
      </w:r>
      <w:r w:rsidR="00023061">
        <w:rPr>
          <w:lang w:val="de-DE"/>
        </w:rPr>
        <w:t xml:space="preserve">. </w:t>
      </w:r>
      <w:r w:rsidR="00D91EEF">
        <w:rPr>
          <w:lang w:val="de-DE"/>
        </w:rPr>
        <w:t>Er</w:t>
      </w:r>
      <w:r w:rsidR="00023061">
        <w:rPr>
          <w:lang w:val="de-DE"/>
        </w:rPr>
        <w:t xml:space="preserve"> setzt keine ausgeprägten Programmier</w:t>
      </w:r>
      <w:r w:rsidR="00497A2B">
        <w:rPr>
          <w:lang w:val="de-DE"/>
        </w:rPr>
        <w:t>-/Fachk</w:t>
      </w:r>
      <w:r w:rsidR="00023061">
        <w:rPr>
          <w:lang w:val="de-DE"/>
        </w:rPr>
        <w:t>enntnisse voraus. Die Gruppen sind jedoch so verteilt, dass alle Gruppen eine</w:t>
      </w:r>
      <w:r w:rsidR="00D91EEF">
        <w:rPr>
          <w:lang w:val="de-DE"/>
        </w:rPr>
        <w:t xml:space="preserve"> ausgeglichene Mischung von Programmier- und Fachkenntnissen beinhalten. </w:t>
      </w:r>
    </w:p>
    <w:p w14:paraId="1550FBB8" w14:textId="53EF5F82" w:rsidR="00A249B5" w:rsidRPr="00023061" w:rsidRDefault="00A249B5" w:rsidP="00023061">
      <w:pPr>
        <w:rPr>
          <w:lang w:val="de-DE"/>
        </w:rPr>
      </w:pPr>
      <w:r>
        <w:rPr>
          <w:lang w:val="de-DE"/>
        </w:rPr>
        <w:t>Für Fragen</w:t>
      </w:r>
      <w:r w:rsidR="00086F18">
        <w:rPr>
          <w:lang w:val="de-DE"/>
        </w:rPr>
        <w:t xml:space="preserve">, </w:t>
      </w:r>
      <w:r>
        <w:rPr>
          <w:lang w:val="de-DE"/>
        </w:rPr>
        <w:t>Anmerkungen</w:t>
      </w:r>
      <w:r w:rsidR="00086F18">
        <w:rPr>
          <w:lang w:val="de-DE"/>
        </w:rPr>
        <w:t xml:space="preserve"> und </w:t>
      </w:r>
      <w:r w:rsidR="0071424B">
        <w:rPr>
          <w:lang w:val="de-DE"/>
        </w:rPr>
        <w:t>Kritik</w:t>
      </w:r>
      <w:r>
        <w:rPr>
          <w:lang w:val="de-DE"/>
        </w:rPr>
        <w:t>, wendet Euch</w:t>
      </w:r>
      <w:r w:rsidR="00D319D6">
        <w:rPr>
          <w:lang w:val="de-DE"/>
        </w:rPr>
        <w:t xml:space="preserve"> sehr gerne</w:t>
      </w:r>
      <w:r>
        <w:rPr>
          <w:lang w:val="de-DE"/>
        </w:rPr>
        <w:t xml:space="preserve"> an </w:t>
      </w:r>
      <w:r w:rsidR="00D319D6">
        <w:rPr>
          <w:lang w:val="de-DE"/>
        </w:rPr>
        <w:t>mich</w:t>
      </w:r>
      <w:r>
        <w:rPr>
          <w:lang w:val="de-DE"/>
        </w:rPr>
        <w:t xml:space="preserve"> (s.u.).</w:t>
      </w:r>
      <w:r w:rsidR="00C34B3B">
        <w:rPr>
          <w:lang w:val="de-DE"/>
        </w:rPr>
        <w:br/>
      </w:r>
      <w:r w:rsidR="00C34B3B">
        <w:rPr>
          <w:lang w:val="de-DE"/>
        </w:rPr>
        <w:br/>
        <w:t>Viel Spaß!</w:t>
      </w:r>
      <w:r w:rsidR="00C34B3B">
        <w:rPr>
          <w:lang w:val="de-DE"/>
        </w:rPr>
        <w:br/>
        <w:t>Paul</w:t>
      </w:r>
      <w:r w:rsidR="004063AD">
        <w:rPr>
          <w:lang w:val="de-DE"/>
        </w:rPr>
        <w:br/>
      </w:r>
    </w:p>
    <w:p w14:paraId="3891891A" w14:textId="747777E9" w:rsidR="00600083" w:rsidRDefault="00FF1F60" w:rsidP="00600083">
      <w:pPr>
        <w:rPr>
          <w:rFonts w:eastAsiaTheme="minorEastAsia"/>
          <w:lang w:val="de-DE"/>
        </w:rPr>
      </w:pPr>
      <w:r w:rsidRPr="00023061">
        <w:rPr>
          <w:rStyle w:val="berschrift4Zchn"/>
          <w:lang w:val="de-DE"/>
        </w:rPr>
        <w:t>Hilfreiche Bonusinformationen zur Bearbeitung</w:t>
      </w:r>
      <w:r w:rsidRPr="00023061">
        <w:rPr>
          <w:rStyle w:val="berschrift4Zchn"/>
          <w:lang w:val="de-DE"/>
        </w:rPr>
        <w:br/>
      </w:r>
      <w:r w:rsidR="00600083">
        <w:rPr>
          <w:rFonts w:eastAsiaTheme="minorEastAsia"/>
          <w:lang w:val="de-DE"/>
        </w:rPr>
        <w:t xml:space="preserve">Die Struktur der Jupyter-Notebooks sieht vor, dass einzelne Code-Blöcke mit </w:t>
      </w:r>
      <w:r w:rsidR="00600083" w:rsidRPr="00696A92">
        <w:rPr>
          <w:rFonts w:eastAsiaTheme="minorEastAsia"/>
          <w:i/>
          <w:iCs/>
          <w:lang w:val="de-DE"/>
        </w:rPr>
        <w:t>str + enter</w:t>
      </w:r>
      <w:r w:rsidR="00600083">
        <w:rPr>
          <w:rFonts w:eastAsiaTheme="minorEastAsia"/>
          <w:lang w:val="de-DE"/>
        </w:rPr>
        <w:t>,</w:t>
      </w:r>
      <w:r w:rsidR="00600083">
        <w:rPr>
          <w:rFonts w:eastAsiaTheme="minorEastAsia"/>
          <w:lang w:val="de-DE"/>
        </w:rPr>
        <w:br/>
        <w:t>bzw</w:t>
      </w:r>
      <w:r w:rsidR="00600083" w:rsidRPr="00696A92">
        <w:rPr>
          <w:rFonts w:eastAsiaTheme="minorEastAsia"/>
          <w:i/>
          <w:iCs/>
          <w:lang w:val="de-DE"/>
        </w:rPr>
        <w:t>. shift + enter</w:t>
      </w:r>
      <w:r w:rsidR="00600083">
        <w:rPr>
          <w:rFonts w:eastAsiaTheme="minorEastAsia"/>
          <w:i/>
          <w:iCs/>
          <w:lang w:val="de-DE"/>
        </w:rPr>
        <w:t xml:space="preserve"> </w:t>
      </w:r>
      <w:r w:rsidR="00600083" w:rsidRPr="00696A92">
        <w:rPr>
          <w:rFonts w:eastAsiaTheme="minorEastAsia"/>
          <w:lang w:val="de-DE"/>
        </w:rPr>
        <w:t>ausgeführt werden können</w:t>
      </w:r>
      <w:r w:rsidR="00600083">
        <w:rPr>
          <w:rFonts w:eastAsiaTheme="minorEastAsia"/>
          <w:lang w:val="de-DE"/>
        </w:rPr>
        <w:t>. Stellt sicher, dass nur die Code-</w:t>
      </w:r>
      <w:r w:rsidR="00A70D28">
        <w:rPr>
          <w:rFonts w:eastAsiaTheme="minorEastAsia"/>
          <w:lang w:val="de-DE"/>
        </w:rPr>
        <w:t>B</w:t>
      </w:r>
      <w:r w:rsidR="00600083">
        <w:rPr>
          <w:rFonts w:eastAsiaTheme="minorEastAsia"/>
          <w:lang w:val="de-DE"/>
        </w:rPr>
        <w:t xml:space="preserve">löcke/Zellen ausgeführt werden, welche Ihr bereits bearbeitet habt, da der gesamte Code erst nach gesamter Bearbeitung fehlerfrei funktioniert. </w:t>
      </w:r>
    </w:p>
    <w:p w14:paraId="0C80256D" w14:textId="021778B6" w:rsidR="00680EAF" w:rsidRDefault="00600083" w:rsidP="00600083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Beachtet außerdem, dass Änderungen im Code nur registriert werden, wenn Ihr die entsprechenden Zellen erneut ausführt. </w:t>
      </w:r>
      <w:r w:rsidR="00A70D28">
        <w:rPr>
          <w:rFonts w:eastAsiaTheme="minorEastAsia"/>
          <w:lang w:val="de-DE"/>
        </w:rPr>
        <w:t>Dies gilt insbesondere, wenn Ihr die Parameter zu Beginn des Codes ändern wollt, z.B., um Plots mit veränderten Parametern zu generieren.</w:t>
      </w:r>
    </w:p>
    <w:p w14:paraId="7FFD9ECE" w14:textId="4E744E80" w:rsidR="00680EAF" w:rsidRDefault="00680EAF" w:rsidP="00600083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In Python gilt außerdem die internationale Standardschreibweise mit einem Punkt für Gleitkommazahlen. </w:t>
      </w:r>
      <w:r w:rsidR="003C3439">
        <w:rPr>
          <w:rFonts w:eastAsiaTheme="minorEastAsia"/>
          <w:lang w:val="de-DE"/>
        </w:rPr>
        <w:t xml:space="preserve">Um die Nähe zum Code beizubehalten und Verwechslungsgefahr mit Kommata im Text zu vermeiden, halten wir </w:t>
      </w:r>
      <w:r w:rsidR="00291CCC">
        <w:rPr>
          <w:rFonts w:eastAsiaTheme="minorEastAsia"/>
          <w:lang w:val="de-DE"/>
        </w:rPr>
        <w:t xml:space="preserve">in dieser Anleitung </w:t>
      </w:r>
      <w:r w:rsidR="003C3439">
        <w:rPr>
          <w:rFonts w:eastAsiaTheme="minorEastAsia"/>
          <w:lang w:val="de-DE"/>
        </w:rPr>
        <w:t xml:space="preserve">diese Konvention ein. </w:t>
      </w:r>
    </w:p>
    <w:p w14:paraId="218647F4" w14:textId="37832020" w:rsidR="00023061" w:rsidRDefault="00023061" w:rsidP="00600083">
      <w:pPr>
        <w:rPr>
          <w:lang w:val="de-DE"/>
        </w:rPr>
      </w:pPr>
      <w:r>
        <w:rPr>
          <w:lang w:val="de-DE"/>
        </w:rPr>
        <w:t>Gemäß der konventionellen Behandlung des Black-Scholes-Merton Modells geht dieser Workshop außerdem von kontinuierlicher Verzinsung und Diskontierung aus</w:t>
      </w:r>
      <w:r w:rsidRPr="005C73B6">
        <w:rPr>
          <w:lang w:val="de-DE"/>
        </w:rPr>
        <w:t xml:space="preserve"> (Siehe z.B.: </w:t>
      </w:r>
      <w:r w:rsidRPr="00AA54CA">
        <w:rPr>
          <w:i/>
          <w:iCs/>
          <w:lang w:val="de-DE"/>
        </w:rPr>
        <w:t xml:space="preserve">Optionen, Futures und andere Derivate, John C. Hull, Pearson (11. </w:t>
      </w:r>
      <w:r w:rsidRPr="00EB71B4">
        <w:rPr>
          <w:i/>
          <w:iCs/>
          <w:lang w:val="de-DE"/>
        </w:rPr>
        <w:t>Aufl., 2022)</w:t>
      </w:r>
      <w:r w:rsidRPr="00EB71B4">
        <w:rPr>
          <w:lang w:val="de-DE"/>
        </w:rPr>
        <w:t>)</w:t>
      </w:r>
      <w:r>
        <w:rPr>
          <w:lang w:val="de-DE"/>
        </w:rPr>
        <w:t>.</w:t>
      </w:r>
    </w:p>
    <w:p w14:paraId="641D0009" w14:textId="77777777" w:rsidR="000F2582" w:rsidRDefault="000F2582" w:rsidP="00600083">
      <w:pPr>
        <w:rPr>
          <w:lang w:val="de-DE"/>
        </w:rPr>
      </w:pPr>
    </w:p>
    <w:p w14:paraId="11118E02" w14:textId="77777777" w:rsidR="000F2582" w:rsidRPr="00600083" w:rsidRDefault="000F2582" w:rsidP="00600083">
      <w:pPr>
        <w:rPr>
          <w:rFonts w:eastAsiaTheme="minorEastAsia"/>
          <w:lang w:val="de-DE"/>
        </w:rPr>
      </w:pPr>
    </w:p>
    <w:p w14:paraId="44FD3C45" w14:textId="3269E9DC" w:rsidR="002D23CB" w:rsidRDefault="00D24695" w:rsidP="002D23CB">
      <w:pPr>
        <w:pStyle w:val="berschrift2"/>
        <w:rPr>
          <w:lang w:val="de-DE"/>
        </w:rPr>
      </w:pPr>
      <w:r w:rsidRPr="002D23CB">
        <w:rPr>
          <w:lang w:val="de-DE"/>
        </w:rPr>
        <w:t>Aufgabe 1</w:t>
      </w:r>
      <w:r w:rsidR="002D23CB" w:rsidRPr="002D23CB">
        <w:rPr>
          <w:lang w:val="de-DE"/>
        </w:rPr>
        <w:t xml:space="preserve"> – Lösung der Black-S</w:t>
      </w:r>
      <w:r w:rsidR="002D23CB">
        <w:rPr>
          <w:lang w:val="de-DE"/>
        </w:rPr>
        <w:t>choles</w:t>
      </w:r>
      <w:r w:rsidR="007A6C26">
        <w:rPr>
          <w:lang w:val="de-DE"/>
        </w:rPr>
        <w:t>-Merton</w:t>
      </w:r>
      <w:r w:rsidR="002D23CB">
        <w:rPr>
          <w:lang w:val="de-DE"/>
        </w:rPr>
        <w:t xml:space="preserve"> Gleichung</w:t>
      </w:r>
    </w:p>
    <w:p w14:paraId="39B0F88B" w14:textId="77777777" w:rsidR="00212B7C" w:rsidRPr="00212B7C" w:rsidRDefault="00212B7C" w:rsidP="00212B7C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12B7C" w14:paraId="070AC1FE" w14:textId="77777777" w:rsidTr="00212B7C">
        <w:tc>
          <w:tcPr>
            <w:tcW w:w="3070" w:type="dxa"/>
          </w:tcPr>
          <w:p w14:paraId="66E98BBF" w14:textId="37179597" w:rsidR="00212B7C" w:rsidRDefault="00212B7C" w:rsidP="00212B7C">
            <w:pPr>
              <w:rPr>
                <w:lang w:val="de-DE"/>
              </w:rPr>
            </w:pPr>
            <w:r>
              <w:rPr>
                <w:lang w:val="de-DE"/>
              </w:rPr>
              <w:t xml:space="preserve">Gruppe </w:t>
            </w:r>
            <w:r w:rsidR="007A6C26">
              <w:rPr>
                <w:lang w:val="de-DE"/>
              </w:rPr>
              <w:t>Black</w:t>
            </w:r>
          </w:p>
        </w:tc>
        <w:tc>
          <w:tcPr>
            <w:tcW w:w="3071" w:type="dxa"/>
          </w:tcPr>
          <w:p w14:paraId="28A3154D" w14:textId="0BC7DB56" w:rsidR="00212B7C" w:rsidRDefault="00212B7C" w:rsidP="00212B7C">
            <w:pPr>
              <w:rPr>
                <w:lang w:val="de-DE"/>
              </w:rPr>
            </w:pPr>
            <w:r>
              <w:rPr>
                <w:lang w:val="de-DE"/>
              </w:rPr>
              <w:t xml:space="preserve">Gruppe </w:t>
            </w:r>
            <w:r w:rsidR="007A6C26">
              <w:rPr>
                <w:lang w:val="de-DE"/>
              </w:rPr>
              <w:t>Scholes</w:t>
            </w:r>
          </w:p>
        </w:tc>
        <w:tc>
          <w:tcPr>
            <w:tcW w:w="3071" w:type="dxa"/>
          </w:tcPr>
          <w:p w14:paraId="1374E891" w14:textId="760D9955" w:rsidR="00212B7C" w:rsidRDefault="00212B7C" w:rsidP="00212B7C">
            <w:pPr>
              <w:rPr>
                <w:lang w:val="de-DE"/>
              </w:rPr>
            </w:pPr>
            <w:r>
              <w:rPr>
                <w:lang w:val="de-DE"/>
              </w:rPr>
              <w:t xml:space="preserve">Gruppe </w:t>
            </w:r>
            <w:r w:rsidR="007A6C26">
              <w:rPr>
                <w:lang w:val="de-DE"/>
              </w:rPr>
              <w:t>Merton</w:t>
            </w:r>
          </w:p>
        </w:tc>
      </w:tr>
      <w:tr w:rsidR="00212B7C" w14:paraId="4701A1FD" w14:textId="77777777" w:rsidTr="00212B7C">
        <w:tc>
          <w:tcPr>
            <w:tcW w:w="3070" w:type="dxa"/>
          </w:tcPr>
          <w:p w14:paraId="42C0F368" w14:textId="06015029" w:rsidR="00212B7C" w:rsidRDefault="00C74435" w:rsidP="00212B7C">
            <w:pPr>
              <w:rPr>
                <w:lang w:val="de-DE"/>
              </w:rPr>
            </w:pPr>
            <w:r>
              <w:rPr>
                <w:lang w:val="de-DE"/>
              </w:rPr>
              <w:t>…</w:t>
            </w:r>
          </w:p>
        </w:tc>
        <w:tc>
          <w:tcPr>
            <w:tcW w:w="3071" w:type="dxa"/>
          </w:tcPr>
          <w:p w14:paraId="7F46B737" w14:textId="5981FFA5" w:rsidR="00212B7C" w:rsidRDefault="00C74435" w:rsidP="00212B7C">
            <w:pPr>
              <w:rPr>
                <w:lang w:val="de-DE"/>
              </w:rPr>
            </w:pPr>
            <w:r>
              <w:rPr>
                <w:lang w:val="de-DE"/>
              </w:rPr>
              <w:t>…</w:t>
            </w:r>
          </w:p>
        </w:tc>
        <w:tc>
          <w:tcPr>
            <w:tcW w:w="3071" w:type="dxa"/>
          </w:tcPr>
          <w:p w14:paraId="56EFC266" w14:textId="1F7521CB" w:rsidR="00212B7C" w:rsidRDefault="00C74435" w:rsidP="00212B7C">
            <w:pPr>
              <w:rPr>
                <w:lang w:val="de-DE"/>
              </w:rPr>
            </w:pPr>
            <w:r>
              <w:rPr>
                <w:lang w:val="de-DE"/>
              </w:rPr>
              <w:t>...</w:t>
            </w:r>
          </w:p>
        </w:tc>
      </w:tr>
    </w:tbl>
    <w:p w14:paraId="385EA580" w14:textId="77777777" w:rsidR="00067874" w:rsidRDefault="00067874" w:rsidP="003544A9">
      <w:pPr>
        <w:pStyle w:val="berschrift3"/>
        <w:rPr>
          <w:lang w:val="de-DE"/>
        </w:rPr>
      </w:pPr>
    </w:p>
    <w:p w14:paraId="04D2BD35" w14:textId="77171081" w:rsidR="002C436F" w:rsidRPr="00EB71B4" w:rsidRDefault="00067874" w:rsidP="00067874">
      <w:pPr>
        <w:rPr>
          <w:lang w:val="de-DE"/>
        </w:rPr>
      </w:pPr>
      <w:r>
        <w:rPr>
          <w:lang w:val="de-DE"/>
        </w:rPr>
        <w:t>Ziel</w:t>
      </w:r>
      <w:r w:rsidR="004E19CC">
        <w:rPr>
          <w:lang w:val="de-DE"/>
        </w:rPr>
        <w:t>e</w:t>
      </w:r>
      <w:r>
        <w:rPr>
          <w:lang w:val="de-DE"/>
        </w:rPr>
        <w:t xml:space="preserve"> dieser Aufgabe </w:t>
      </w:r>
      <w:r w:rsidR="004E19CC">
        <w:rPr>
          <w:lang w:val="de-DE"/>
        </w:rPr>
        <w:t>sind</w:t>
      </w:r>
      <w:r>
        <w:rPr>
          <w:lang w:val="de-DE"/>
        </w:rPr>
        <w:t>, sich mit Fun</w:t>
      </w:r>
      <w:r w:rsidR="00CD193A">
        <w:rPr>
          <w:lang w:val="de-DE"/>
        </w:rPr>
        <w:t>k</w:t>
      </w:r>
      <w:r>
        <w:rPr>
          <w:lang w:val="de-DE"/>
        </w:rPr>
        <w:t xml:space="preserve">tionen in Python, mit elementaren algebraischen Operatoren, </w:t>
      </w:r>
      <w:r w:rsidR="00EE3214">
        <w:rPr>
          <w:lang w:val="de-DE"/>
        </w:rPr>
        <w:t>mit den Lösungen der Black-Scholes</w:t>
      </w:r>
      <w:r w:rsidR="007A6C26">
        <w:rPr>
          <w:lang w:val="de-DE"/>
        </w:rPr>
        <w:t>-Merton</w:t>
      </w:r>
      <w:r w:rsidR="00EE3214">
        <w:rPr>
          <w:lang w:val="de-DE"/>
        </w:rPr>
        <w:t xml:space="preserve"> Gleichung zum Pricing von Optionen und zu </w:t>
      </w:r>
      <w:r w:rsidR="00724D85">
        <w:rPr>
          <w:lang w:val="de-DE"/>
        </w:rPr>
        <w:t>g</w:t>
      </w:r>
      <w:r w:rsidR="00EE3214">
        <w:rPr>
          <w:lang w:val="de-DE"/>
        </w:rPr>
        <w:t xml:space="preserve">raphischen Tools in Python vertraut zu machen. </w:t>
      </w:r>
    </w:p>
    <w:p w14:paraId="30E6ACA3" w14:textId="1472C8BD" w:rsidR="00EE3214" w:rsidRDefault="00EE3214" w:rsidP="00067874">
      <w:pPr>
        <w:rPr>
          <w:lang w:val="de-DE"/>
        </w:rPr>
      </w:pPr>
      <w:r>
        <w:rPr>
          <w:lang w:val="de-DE"/>
        </w:rPr>
        <w:t>Hierzu werden in dieser Aufgabe die Lösungen der Black-Scholes</w:t>
      </w:r>
      <w:r w:rsidR="007A6C26">
        <w:rPr>
          <w:lang w:val="de-DE"/>
        </w:rPr>
        <w:t>-Merton</w:t>
      </w:r>
      <w:r>
        <w:rPr>
          <w:lang w:val="de-DE"/>
        </w:rPr>
        <w:t xml:space="preserve"> Gleichung in Python übersetzt, dargestellt, und untersucht.</w:t>
      </w:r>
    </w:p>
    <w:p w14:paraId="690F8C7B" w14:textId="5F804202" w:rsidR="00212B7C" w:rsidRPr="00212B7C" w:rsidRDefault="003544A9" w:rsidP="003544A9">
      <w:pPr>
        <w:pStyle w:val="berschrift3"/>
        <w:numPr>
          <w:ilvl w:val="0"/>
          <w:numId w:val="1"/>
        </w:numPr>
        <w:rPr>
          <w:lang w:val="de-DE"/>
        </w:rPr>
      </w:pPr>
      <w:r>
        <w:rPr>
          <w:lang w:val="de-DE"/>
        </w:rPr>
        <w:t>Formeln eingeben</w:t>
      </w:r>
    </w:p>
    <w:p w14:paraId="06BF7F26" w14:textId="79D72DE6" w:rsidR="00447D66" w:rsidRDefault="00382314" w:rsidP="00447D66">
      <w:pPr>
        <w:rPr>
          <w:lang w:val="de-DE"/>
        </w:rPr>
      </w:pPr>
      <w:r>
        <w:rPr>
          <w:lang w:val="de-DE"/>
        </w:rPr>
        <w:t xml:space="preserve">Fügt </w:t>
      </w:r>
      <w:r w:rsidR="00B73EFF">
        <w:rPr>
          <w:lang w:val="de-DE"/>
        </w:rPr>
        <w:t xml:space="preserve">an </w:t>
      </w:r>
      <w:r>
        <w:rPr>
          <w:lang w:val="de-DE"/>
        </w:rPr>
        <w:t xml:space="preserve">den entsprechenden Stellen </w:t>
      </w:r>
      <w:r w:rsidR="00B73EFF">
        <w:rPr>
          <w:lang w:val="de-DE"/>
        </w:rPr>
        <w:t xml:space="preserve">in den dafür vorgesehenen Funktionen </w:t>
      </w:r>
      <w:r>
        <w:rPr>
          <w:lang w:val="de-DE"/>
        </w:rPr>
        <w:t xml:space="preserve">im Jupyter-Notebook die </w:t>
      </w:r>
      <w:r w:rsidR="00B73EFF">
        <w:rPr>
          <w:lang w:val="de-DE"/>
        </w:rPr>
        <w:t>Formeln für die Lösung der Black-Scholes</w:t>
      </w:r>
      <w:r w:rsidR="007A6C26">
        <w:rPr>
          <w:lang w:val="de-DE"/>
        </w:rPr>
        <w:t>-Merton</w:t>
      </w:r>
      <w:r w:rsidR="00B73EFF">
        <w:rPr>
          <w:lang w:val="de-DE"/>
        </w:rPr>
        <w:t xml:space="preserve"> Gleichung ein. </w:t>
      </w:r>
      <w:r w:rsidR="00234270">
        <w:rPr>
          <w:lang w:val="de-DE"/>
        </w:rPr>
        <w:br/>
        <w:t xml:space="preserve">Die Formeln für den Wert von Call-Option und Put-Option </w:t>
      </w:r>
      <w:r w:rsidR="00497F6D">
        <w:rPr>
          <w:lang w:val="de-DE"/>
        </w:rPr>
        <w:t>lassen sich schreiben als:</w:t>
      </w:r>
    </w:p>
    <w:p w14:paraId="2FE1585D" w14:textId="3126AAE7" w:rsidR="00234270" w:rsidRDefault="00F104F9" w:rsidP="00447D66">
      <w:pPr>
        <w:rPr>
          <w:rFonts w:eastAsiaTheme="minorEastAsia"/>
          <w:lang w:val="de-DE"/>
        </w:rPr>
      </w:pPr>
      <m:oMath>
        <m:r>
          <m:rPr>
            <m:nor/>
          </m:rPr>
          <w:rPr>
            <w:rFonts w:ascii="Cambria Math" w:hAnsi="Cambria Math"/>
            <w:lang w:val="de-DE"/>
          </w:rPr>
          <m:t>C=</m:t>
        </m:r>
        <m:f>
          <m:fPr>
            <m:ctrlPr>
              <w:rPr>
                <w:rFonts w:ascii="Cambria Math" w:hAnsi="Cambria Math"/>
                <w:lang w:val="de-DE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lang w:val="de-DE"/>
              </w:rPr>
              <m:t>N</m:t>
            </m:r>
            <m:d>
              <m:dPr>
                <m:ctrlPr>
                  <w:rPr>
                    <w:rFonts w:ascii="Cambria Math" w:hAnsi="Cambria Math"/>
                    <w:lang w:val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de-DE"/>
                      </w:rPr>
                      <m:t>d</m:t>
                    </m:r>
                    <m:ctrlPr>
                      <w:rPr>
                        <w:rFonts w:ascii="Cambria Math" w:hAnsi="Cambria Math"/>
                        <w:lang w:val="de-DE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lang w:val="de-DE"/>
                  </w:rPr>
                  <m:t>S</m:t>
                </m:r>
                <m:ctrlPr>
                  <w:rPr>
                    <w:rFonts w:ascii="Cambria Math" w:hAnsi="Cambria Math"/>
                    <w:lang w:val="de-DE"/>
                  </w:rPr>
                </m:ctrlP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de-DE"/>
                  </w:rPr>
                  <m:t>0</m:t>
                </m:r>
              </m:sub>
            </m:sSub>
            <m:r>
              <m:rPr>
                <m:nor/>
              </m:rPr>
              <w:rPr>
                <w:rFonts w:ascii="Cambria Math" w:hAnsi="Cambria Math"/>
                <w:lang w:val="de-DE"/>
              </w:rPr>
              <m:t>-N </m:t>
            </m:r>
            <m:d>
              <m:dPr>
                <m:ctrlPr>
                  <w:rPr>
                    <w:rFonts w:ascii="Cambria Math" w:hAnsi="Cambria Math"/>
                    <w:lang w:val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de-DE"/>
                      </w:rPr>
                      <m:t>d</m:t>
                    </m:r>
                    <m:ctrlPr>
                      <w:rPr>
                        <w:rFonts w:ascii="Cambria Math" w:hAnsi="Cambria Math"/>
                        <w:lang w:val="de-DE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</m:d>
            <m:r>
              <m:rPr>
                <m:nor/>
              </m:rPr>
              <w:rPr>
                <w:rFonts w:ascii="Cambria Math" w:hAnsi="Cambria Math"/>
                <w:lang w:val="de-DE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lang w:val="de-DE"/>
                  </w:rPr>
                  <m:t>e</m:t>
                </m:r>
                <m:ctrlPr>
                  <w:rPr>
                    <w:rFonts w:ascii="Cambria Math" w:hAnsi="Cambria Math"/>
                    <w:lang w:val="de-DE"/>
                  </w:rPr>
                </m:ctrlPr>
              </m:e>
              <m:sup>
                <m:r>
                  <m:rPr>
                    <m:nor/>
                  </m:rPr>
                  <w:rPr>
                    <w:rFonts w:ascii="Cambria Math" w:hAnsi="Cambria Math"/>
                    <w:lang w:val="de-DE"/>
                  </w:rPr>
                  <m:t>-rt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  <w:lang w:val="de-DE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lang w:val="de-DE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Cambria Math" w:hAnsi="Cambria Math"/>
                    <w:lang w:val="de-DE"/>
                  </w:rPr>
                  <m:t>t</m:t>
                </m:r>
              </m:e>
            </m:rad>
          </m:den>
        </m:f>
      </m:oMath>
      <w:r w:rsidR="00234270">
        <w:rPr>
          <w:rFonts w:eastAsiaTheme="minorEastAsia"/>
          <w:lang w:val="de-DE"/>
        </w:rPr>
        <w:t xml:space="preserve">  und </w:t>
      </w:r>
      <m:oMath>
        <m:r>
          <m:rPr>
            <m:sty m:val="p"/>
          </m:rPr>
          <w:rPr>
            <w:rFonts w:ascii="Cambria Math" w:hAnsi="Cambria Math"/>
            <w:lang w:val="de-DE"/>
          </w:rPr>
          <m:t>P</m:t>
        </m:r>
        <m:r>
          <w:rPr>
            <w:rFonts w:ascii="Cambria Math" w:hAnsi="Cambria Math"/>
            <w:lang w:val="de-DE"/>
          </w:rPr>
          <m:t>=</m:t>
        </m:r>
        <m:f>
          <m:fPr>
            <m:ctrlPr>
              <w:rPr>
                <w:rFonts w:ascii="Cambria Math" w:hAnsi="Cambria Math"/>
                <w:lang w:val="de-D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de-DE"/>
              </w:rPr>
              <m:t>-</m:t>
            </m:r>
            <m:r>
              <m:rPr>
                <m:nor/>
              </m:rPr>
              <w:rPr>
                <w:rFonts w:ascii="Cambria Math" w:hAnsi="Cambria Math"/>
                <w:lang w:val="de-DE"/>
              </w:rPr>
              <m:t>N</m:t>
            </m:r>
            <m:d>
              <m:dPr>
                <m:ctrlPr>
                  <w:rPr>
                    <w:rFonts w:ascii="Cambria Math" w:hAnsi="Cambria Math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de-DE"/>
                  </w:rPr>
                  <m:t>S</m:t>
                </m:r>
                <m:ctrlPr>
                  <w:rPr>
                    <w:rFonts w:ascii="Cambria Math" w:hAnsi="Cambria Math"/>
                    <w:lang w:val="de-DE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de-DE"/>
                  </w:rPr>
                  <m:t>0</m:t>
                </m:r>
              </m:sub>
            </m:sSub>
            <m:r>
              <w:rPr>
                <w:rFonts w:ascii="Cambria Math" w:hAnsi="Cambria Math"/>
                <w:lang w:val="de-DE"/>
              </w:rPr>
              <m:t>+</m:t>
            </m:r>
            <m:r>
              <m:rPr>
                <m:nor/>
              </m:rPr>
              <w:rPr>
                <w:rFonts w:ascii="Cambria Math" w:hAnsi="Cambria Math"/>
                <w:lang w:val="de-DE"/>
              </w:rPr>
              <m:t>N</m:t>
            </m:r>
            <m:d>
              <m:dPr>
                <m:ctrlPr>
                  <w:rPr>
                    <w:rFonts w:ascii="Cambria Math" w:hAnsi="Cambria Math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lang w:val="de-DE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de-DE"/>
                  </w:rPr>
                  <m:t>e</m:t>
                </m:r>
                <m:ctrlPr>
                  <w:rPr>
                    <w:rFonts w:ascii="Cambria Math" w:hAnsi="Cambria Math"/>
                    <w:lang w:val="de-DE"/>
                  </w:rPr>
                </m:ctrlPr>
              </m:e>
              <m:sup>
                <m:r>
                  <w:rPr>
                    <w:rFonts w:ascii="Cambria Math" w:hAnsi="Cambria Math"/>
                    <w:lang w:val="de-DE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de-DE"/>
                  </w:rPr>
                  <m:t>rt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val="de-DE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lang w:val="de-D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de-DE"/>
                  </w:rPr>
                  <m:t>t</m:t>
                </m:r>
              </m:e>
            </m:rad>
          </m:den>
        </m:f>
      </m:oMath>
      <w:r w:rsidR="00497F6D">
        <w:rPr>
          <w:rFonts w:eastAsiaTheme="minorEastAsia"/>
          <w:lang w:val="de-DE"/>
        </w:rPr>
        <w:t>,</w:t>
      </w:r>
    </w:p>
    <w:p w14:paraId="17EB88C7" w14:textId="0796B399" w:rsidR="00497F6D" w:rsidRDefault="00497F6D" w:rsidP="00447D66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wobei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lang w:val="de-DE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funcPr>
              <m:fName>
                <m:r>
                  <m:rPr>
                    <m:nor/>
                  </m:rPr>
                  <w:rPr>
                    <w:rFonts w:ascii="Cambria Math" w:eastAsiaTheme="minorEastAsia" w:hAnsi="Cambria Math"/>
                    <w:lang w:val="de-DE"/>
                  </w:rPr>
                  <m:t>ln</m:t>
                </m:r>
                <m:r>
                  <w:rPr>
                    <w:rFonts w:ascii="Cambria Math" w:eastAsiaTheme="minorEastAsia" w:hAnsi="Cambria Math"/>
                    <w:lang w:val="de-DE"/>
                  </w:rPr>
                  <m:t>(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0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Theme="minorEastAsia" w:hAnsi="Cambria Math"/>
                    <w:lang w:val="de-DE"/>
                  </w:rPr>
                  <m:t>/</m:t>
                </m:r>
                <m:r>
                  <w:rPr>
                    <w:rFonts w:ascii="Cambria Math" w:eastAsiaTheme="minorEastAsia" w:hAnsi="Cambria Math"/>
                    <w:lang w:val="de-DE"/>
                  </w:rPr>
                  <m:t>K)</m:t>
                </m:r>
              </m:e>
            </m:func>
            <m:r>
              <w:rPr>
                <w:rFonts w:ascii="Cambria Math" w:eastAsiaTheme="minorEastAsia" w:hAnsi="Cambria Math"/>
                <w:lang w:val="de-DE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lang w:val="de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e-DE"/>
                  </w:rPr>
                  <m:t>r+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val="de-D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de-DE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sup>
                </m:sSup>
                <m:r>
                  <m:rPr>
                    <m:lit/>
                    <m:sty m:val="p"/>
                  </m:rPr>
                  <w:rPr>
                    <w:rFonts w:ascii="Cambria Math" w:eastAsiaTheme="minorEastAsia" w:hAnsi="Cambria Math"/>
                    <w:lang w:val="de-DE"/>
                  </w:rPr>
                  <m:t>/</m:t>
                </m:r>
                <m:r>
                  <w:rPr>
                    <w:rFonts w:ascii="Cambria Math" w:eastAsiaTheme="minorEastAsia" w:hAnsi="Cambria Math"/>
                    <w:lang w:val="de-DE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e>
            </m:d>
            <m:r>
              <w:rPr>
                <w:rFonts w:ascii="Cambria Math" w:eastAsiaTheme="minorEastAsia" w:hAnsi="Cambria Math"/>
                <w:lang w:val="de-DE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de-DE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lang w:val="de-DE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lang w:val="de-DE"/>
                  </w:rPr>
                  <m:t>t</m:t>
                </m:r>
              </m:e>
            </m:rad>
          </m:den>
        </m:f>
      </m:oMath>
      <w:r w:rsidR="00052779">
        <w:rPr>
          <w:rFonts w:eastAsiaTheme="minorEastAsia"/>
          <w:lang w:val="de-DE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/>
            <w:lang w:val="de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lang w:val="de-DE"/>
          </w:rPr>
          <m:t>-</m:t>
        </m:r>
        <m:r>
          <m:rPr>
            <m:sty m:val="p"/>
          </m:rPr>
          <w:rPr>
            <w:rFonts w:ascii="Cambria Math" w:eastAsiaTheme="minorEastAsia" w:hAnsi="Cambria Math"/>
            <w:lang w:val="de-DE"/>
          </w:rPr>
          <m:t>σ</m:t>
        </m:r>
        <m:rad>
          <m:radPr>
            <m:degHide m:val="1"/>
            <m:ctrlPr>
              <w:rPr>
                <w:rFonts w:ascii="Cambria Math" w:eastAsiaTheme="minorEastAsia" w:hAnsi="Cambria Math"/>
                <w:lang w:val="de-DE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de-DE"/>
              </w:rPr>
            </m:ctrlPr>
          </m:deg>
          <m:e>
            <m:r>
              <w:rPr>
                <w:rFonts w:ascii="Cambria Math" w:eastAsiaTheme="minorEastAsia" w:hAnsi="Cambria Math"/>
                <w:lang w:val="de-DE"/>
              </w:rPr>
              <m:t>t</m:t>
            </m:r>
          </m:e>
        </m:rad>
      </m:oMath>
      <w:r w:rsidR="00297E0F">
        <w:rPr>
          <w:rFonts w:eastAsiaTheme="minorEastAsia"/>
          <w:lang w:val="de-DE"/>
        </w:rPr>
        <w:t>.</w:t>
      </w:r>
    </w:p>
    <w:p w14:paraId="679D624B" w14:textId="494F0AF7" w:rsidR="00E82740" w:rsidRDefault="00297E0F" w:rsidP="00030A7B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Hierbei bezeichnet </w:t>
      </w:r>
      <m:oMath>
        <m:r>
          <m:rPr>
            <m:nor/>
          </m:rPr>
          <w:rPr>
            <w:rFonts w:ascii="Cambria Math" w:eastAsiaTheme="minorEastAsia" w:hAnsi="Cambria Math"/>
            <w:lang w:val="de-DE"/>
          </w:rPr>
          <m:t>N</m:t>
        </m:r>
        <m:r>
          <w:rPr>
            <w:rFonts w:ascii="Cambria Math" w:eastAsiaTheme="minorEastAsia" w:hAnsi="Cambria Math"/>
            <w:lang w:val="de-DE"/>
          </w:rPr>
          <m:t>(...)</m:t>
        </m:r>
        <m:r>
          <m:rPr>
            <m:nor/>
          </m:rPr>
          <w:rPr>
            <w:rFonts w:ascii="Cambria Math" w:eastAsiaTheme="minorEastAsia" w:hAnsi="Cambria Math"/>
            <w:lang w:val="de-DE"/>
          </w:rPr>
          <m:t xml:space="preserve"> </m:t>
        </m:r>
      </m:oMath>
      <w:r>
        <w:rPr>
          <w:rFonts w:eastAsiaTheme="minorEastAsia"/>
          <w:lang w:val="de-DE"/>
        </w:rPr>
        <w:t xml:space="preserve">die kumulative Verteilungsfunktion (cumulative distribution function, CDF) der Standardnormalverteilung und lässt sich im Jupyter-Notebook als </w:t>
      </w:r>
      <w:r w:rsidRPr="00297E0F">
        <w:rPr>
          <w:rFonts w:eastAsiaTheme="minorEastAsia"/>
          <w:i/>
          <w:iCs/>
          <w:lang w:val="de-DE"/>
        </w:rPr>
        <w:t>norm.cdf</w:t>
      </w:r>
      <w:r>
        <w:rPr>
          <w:rFonts w:eastAsiaTheme="minorEastAsia"/>
          <w:i/>
          <w:iCs/>
          <w:lang w:val="de-DE"/>
        </w:rPr>
        <w:t>(…)</w:t>
      </w:r>
      <w:r>
        <w:rPr>
          <w:rFonts w:eastAsiaTheme="minorEastAsia"/>
          <w:lang w:val="de-DE"/>
        </w:rPr>
        <w:t xml:space="preserve"> aufrufen. </w:t>
      </w:r>
      <w:r w:rsidR="008B1B83">
        <w:rPr>
          <w:rFonts w:eastAsiaTheme="minorEastAsia"/>
          <w:lang w:val="de-DE"/>
        </w:rPr>
        <w:t xml:space="preserve">Die Funktion </w:t>
      </w:r>
      <m:oMath>
        <m:r>
          <w:rPr>
            <w:rFonts w:ascii="Cambria Math" w:eastAsiaTheme="minorEastAsia" w:hAnsi="Cambria Math"/>
            <w:lang w:val="de-DE"/>
          </w:rPr>
          <m:t xml:space="preserve">ln(...) </m:t>
        </m:r>
      </m:oMath>
      <w:r w:rsidR="008B1B83">
        <w:rPr>
          <w:rFonts w:eastAsiaTheme="minorEastAsia"/>
          <w:lang w:val="de-DE"/>
        </w:rPr>
        <w:t xml:space="preserve">bezeichnet den natürlichen Logarithmus </w:t>
      </w:r>
      <w:r w:rsidR="000539EB">
        <w:rPr>
          <w:rFonts w:eastAsiaTheme="minorEastAsia"/>
          <w:lang w:val="de-DE"/>
        </w:rPr>
        <w:t xml:space="preserve">und kann im Jupyter-Notebook </w:t>
      </w:r>
      <w:r w:rsidR="000539EB" w:rsidRPr="000539EB">
        <w:rPr>
          <w:rFonts w:eastAsiaTheme="minorEastAsia"/>
          <w:lang w:val="de-DE"/>
        </w:rPr>
        <w:t>als</w:t>
      </w:r>
      <w:r w:rsidR="000539EB" w:rsidRPr="000539EB">
        <w:rPr>
          <w:rFonts w:eastAsiaTheme="minorEastAsia"/>
          <w:i/>
          <w:iCs/>
          <w:lang w:val="de-DE"/>
        </w:rPr>
        <w:t xml:space="preserve"> np.log(.</w:t>
      </w:r>
      <w:r w:rsidR="00D905B6">
        <w:rPr>
          <w:rFonts w:eastAsiaTheme="minorEastAsia"/>
          <w:i/>
          <w:iCs/>
          <w:lang w:val="de-DE"/>
        </w:rPr>
        <w:t>.</w:t>
      </w:r>
      <w:r w:rsidR="000539EB" w:rsidRPr="000539EB">
        <w:rPr>
          <w:rFonts w:eastAsiaTheme="minorEastAsia"/>
          <w:i/>
          <w:iCs/>
          <w:lang w:val="de-DE"/>
        </w:rPr>
        <w:t>.)</w:t>
      </w:r>
      <w:r w:rsidR="000539EB">
        <w:rPr>
          <w:rFonts w:eastAsiaTheme="minorEastAsia"/>
          <w:lang w:val="de-DE"/>
        </w:rPr>
        <w:t xml:space="preserve"> aufgerufen werden</w:t>
      </w:r>
      <w:r w:rsidR="008B1B83">
        <w:rPr>
          <w:rFonts w:eastAsiaTheme="minorEastAsia"/>
          <w:lang w:val="de-DE"/>
        </w:rPr>
        <w:t xml:space="preserve">. </w:t>
      </w:r>
    </w:p>
    <w:p w14:paraId="18B40AA9" w14:textId="77777777" w:rsidR="00894338" w:rsidRDefault="00297E0F" w:rsidP="00030A7B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Die Konstanten bezeichnen:</w:t>
      </w:r>
      <w:r>
        <w:rPr>
          <w:rFonts w:eastAsiaTheme="minorEastAsia"/>
          <w:lang w:val="de-DE"/>
        </w:rPr>
        <w:br/>
        <w:t>Spot-Price</w:t>
      </w:r>
      <w:r w:rsidR="00AB2AEC">
        <w:rPr>
          <w:rFonts w:eastAsiaTheme="minorEastAsia"/>
          <w:lang w:val="de-DE"/>
        </w:rPr>
        <w:t xml:space="preserve"> </w:t>
      </w:r>
      <w:r w:rsidR="00F14782">
        <w:rPr>
          <w:rFonts w:eastAsiaTheme="minorEastAsia"/>
          <w:lang w:val="de-DE"/>
        </w:rPr>
        <w:t xml:space="preserve">des Underlying </w:t>
      </w:r>
      <w:r w:rsidR="00AB2AEC">
        <w:rPr>
          <w:rFonts w:eastAsiaTheme="minorEastAsia"/>
          <w:lang w:val="de-DE"/>
        </w:rPr>
        <w:t xml:space="preserve">bei </w:t>
      </w:r>
      <w:r w:rsidR="00DC0FCB">
        <w:rPr>
          <w:rFonts w:eastAsiaTheme="minorEastAsia"/>
          <w:lang w:val="de-DE"/>
        </w:rPr>
        <w:t>Laufzeitbeginn</w:t>
      </w:r>
      <w:r w:rsidR="00652BB2">
        <w:rPr>
          <w:rFonts w:eastAsiaTheme="minorEastAsia"/>
          <w:lang w:val="de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</m:oMath>
      <w:r>
        <w:rPr>
          <w:rFonts w:eastAsiaTheme="minorEastAsia"/>
          <w:lang w:val="de-DE"/>
        </w:rPr>
        <w:t>,</w:t>
      </w:r>
      <w:r w:rsidR="00AB2AEC">
        <w:rPr>
          <w:rFonts w:eastAsiaTheme="minorEastAsia"/>
          <w:lang w:val="de-DE"/>
        </w:rPr>
        <w:t xml:space="preserve"> Strike-Price </w:t>
      </w:r>
      <m:oMath>
        <m:r>
          <w:rPr>
            <w:rFonts w:ascii="Cambria Math" w:eastAsiaTheme="minorEastAsia" w:hAnsi="Cambria Math"/>
            <w:lang w:val="de-DE"/>
          </w:rPr>
          <m:t>K</m:t>
        </m:r>
      </m:oMath>
      <w:r w:rsidR="00AB2AEC">
        <w:rPr>
          <w:rFonts w:eastAsiaTheme="minorEastAsia"/>
          <w:lang w:val="de-DE"/>
        </w:rPr>
        <w:t xml:space="preserve">, risikolose </w:t>
      </w:r>
      <w:r w:rsidR="00EC63AF">
        <w:rPr>
          <w:rFonts w:eastAsiaTheme="minorEastAsia"/>
          <w:lang w:val="de-DE"/>
        </w:rPr>
        <w:t xml:space="preserve">jährliche </w:t>
      </w:r>
      <w:r w:rsidR="00075F2C">
        <w:rPr>
          <w:rFonts w:eastAsiaTheme="minorEastAsia"/>
          <w:lang w:val="de-DE"/>
        </w:rPr>
        <w:t xml:space="preserve">kontinuierliche </w:t>
      </w:r>
      <w:r w:rsidR="00AB2AEC">
        <w:rPr>
          <w:rFonts w:eastAsiaTheme="minorEastAsia"/>
          <w:lang w:val="de-DE"/>
        </w:rPr>
        <w:t xml:space="preserve">Zinsrate </w:t>
      </w:r>
      <m:oMath>
        <m:r>
          <w:rPr>
            <w:rFonts w:ascii="Cambria Math" w:eastAsiaTheme="minorEastAsia" w:hAnsi="Cambria Math"/>
            <w:lang w:val="de-DE"/>
          </w:rPr>
          <m:t>r</m:t>
        </m:r>
      </m:oMath>
      <w:r w:rsidR="00AB2AEC">
        <w:rPr>
          <w:rFonts w:eastAsiaTheme="minorEastAsia"/>
          <w:lang w:val="de-DE"/>
        </w:rPr>
        <w:t>, Laufzeit</w:t>
      </w:r>
      <w:r w:rsidR="00521F56">
        <w:rPr>
          <w:rFonts w:eastAsiaTheme="minorEastAsia"/>
          <w:lang w:val="de-DE"/>
        </w:rPr>
        <w:t xml:space="preserve"> in Jahren</w:t>
      </w:r>
      <w:r w:rsidR="00AB2AEC"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t</m:t>
        </m:r>
      </m:oMath>
      <w:r w:rsidR="00AB2AEC">
        <w:rPr>
          <w:rFonts w:eastAsiaTheme="minorEastAsia"/>
          <w:lang w:val="de-DE"/>
        </w:rPr>
        <w:t xml:space="preserve"> und Standardabweichung der Returns des Underlying </w:t>
      </w:r>
      <m:oMath>
        <m:r>
          <w:rPr>
            <w:rFonts w:ascii="Cambria Math" w:eastAsiaTheme="minorEastAsia" w:hAnsi="Cambria Math"/>
            <w:lang w:val="de-DE"/>
          </w:rPr>
          <m:t>σ</m:t>
        </m:r>
      </m:oMath>
      <w:r w:rsidR="00AB2AEC">
        <w:rPr>
          <w:rFonts w:eastAsiaTheme="minorEastAsia"/>
          <w:lang w:val="de-DE"/>
        </w:rPr>
        <w:t>.</w:t>
      </w:r>
      <w:r w:rsidR="00C66AA6">
        <w:rPr>
          <w:rFonts w:eastAsiaTheme="minorEastAsia"/>
          <w:lang w:val="de-DE"/>
        </w:rPr>
        <w:t xml:space="preserve"> </w:t>
      </w:r>
    </w:p>
    <w:p w14:paraId="562AD73E" w14:textId="2481A402" w:rsidR="00696A92" w:rsidRDefault="00C66AA6" w:rsidP="00030A7B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Die Einheiten der Preise sind im Code in EUR. Die </w:t>
      </w:r>
      <w:r w:rsidR="00894338">
        <w:rPr>
          <w:rFonts w:eastAsiaTheme="minorEastAsia"/>
          <w:lang w:val="de-DE"/>
        </w:rPr>
        <w:t>Theorie</w:t>
      </w:r>
      <w:r>
        <w:rPr>
          <w:rFonts w:eastAsiaTheme="minorEastAsia"/>
          <w:lang w:val="de-DE"/>
        </w:rPr>
        <w:t xml:space="preserve"> funktionier</w:t>
      </w:r>
      <w:r w:rsidR="00894338">
        <w:rPr>
          <w:rFonts w:eastAsiaTheme="minorEastAsia"/>
          <w:lang w:val="de-DE"/>
        </w:rPr>
        <w:t>t</w:t>
      </w:r>
      <w:r>
        <w:rPr>
          <w:rFonts w:eastAsiaTheme="minorEastAsia"/>
          <w:lang w:val="de-DE"/>
        </w:rPr>
        <w:t xml:space="preserve"> jedoch für jede Währung. </w:t>
      </w:r>
    </w:p>
    <w:p w14:paraId="4DACFB8A" w14:textId="77777777" w:rsidR="004F638B" w:rsidRDefault="004F638B" w:rsidP="00030A7B">
      <w:pPr>
        <w:rPr>
          <w:rFonts w:eastAsiaTheme="minorEastAsia"/>
          <w:lang w:val="de-DE"/>
        </w:rPr>
      </w:pPr>
    </w:p>
    <w:p w14:paraId="503A4961" w14:textId="62F17AB9" w:rsidR="00030A7B" w:rsidRDefault="00030A7B" w:rsidP="00F75373">
      <w:pPr>
        <w:pStyle w:val="berschrift3"/>
        <w:numPr>
          <w:ilvl w:val="0"/>
          <w:numId w:val="1"/>
        </w:numPr>
      </w:pPr>
      <w:r>
        <w:t>Grenzwerte untersuchen</w:t>
      </w:r>
    </w:p>
    <w:p w14:paraId="1DC31C11" w14:textId="6E08D4AF" w:rsidR="00521F56" w:rsidRDefault="007E4E0D" w:rsidP="007E4E0D">
      <w:pPr>
        <w:rPr>
          <w:lang w:val="de-DE"/>
        </w:rPr>
      </w:pPr>
      <w:r w:rsidRPr="007E4E0D">
        <w:rPr>
          <w:lang w:val="de-DE"/>
        </w:rPr>
        <w:t>Der nächste Code-Block be</w:t>
      </w:r>
      <w:r>
        <w:rPr>
          <w:lang w:val="de-DE"/>
        </w:rPr>
        <w:t>inhaltet Code zu</w:t>
      </w:r>
      <w:r w:rsidR="0058404A">
        <w:rPr>
          <w:lang w:val="de-DE"/>
        </w:rPr>
        <w:t>r Darstellung des Marktwertes der Call- und Put- Optionen gemäß der Black-Scholes</w:t>
      </w:r>
      <w:r w:rsidR="007A6C26">
        <w:rPr>
          <w:lang w:val="de-DE"/>
        </w:rPr>
        <w:t>-Merton</w:t>
      </w:r>
      <w:r w:rsidR="0058404A">
        <w:rPr>
          <w:lang w:val="de-DE"/>
        </w:rPr>
        <w:t xml:space="preserve"> Gleichung. </w:t>
      </w:r>
      <w:r w:rsidR="005A0520">
        <w:rPr>
          <w:lang w:val="de-DE"/>
        </w:rPr>
        <w:br/>
        <w:t>Die Konstanten, welche zur Darstellung genutzt werden, findet Ihr im zweiten Code-Block im Notebook.</w:t>
      </w:r>
      <w:r w:rsidR="00A3417F">
        <w:rPr>
          <w:lang w:val="de-DE"/>
        </w:rPr>
        <w:t xml:space="preserve"> </w:t>
      </w:r>
    </w:p>
    <w:p w14:paraId="3A4F6527" w14:textId="56F91F5A" w:rsidR="0066493C" w:rsidRDefault="0066493C" w:rsidP="007E4E0D">
      <w:pPr>
        <w:rPr>
          <w:lang w:val="de-DE"/>
        </w:rPr>
      </w:pPr>
      <w:r>
        <w:rPr>
          <w:lang w:val="de-DE"/>
        </w:rPr>
        <w:lastRenderedPageBreak/>
        <w:t xml:space="preserve">Für diesen Aufgabenteil spielt der Wert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S</m:t>
            </m:r>
          </m:e>
          <m:sub>
            <m:r>
              <w:rPr>
                <w:rFonts w:ascii="Cambria Math" w:hAnsi="Cambria Math"/>
                <w:lang w:val="de-DE"/>
              </w:rPr>
              <m:t>0</m:t>
            </m:r>
          </m:sub>
        </m:sSub>
      </m:oMath>
      <w:r>
        <w:rPr>
          <w:rFonts w:eastAsiaTheme="minorEastAsia"/>
          <w:lang w:val="de-DE"/>
        </w:rPr>
        <w:t xml:space="preserve"> im Parameter-Block keine Rolle, da verschiedene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</m:oMath>
      <w:r>
        <w:rPr>
          <w:rFonts w:eastAsiaTheme="minorEastAsia"/>
          <w:lang w:val="de-DE"/>
        </w:rPr>
        <w:t xml:space="preserve"> gleichzeitig betrachtet und auf der horizontalen Achse aufgetragen werden. Dies befindet sich bereits an der entsprechenden Stelle im Code.</w:t>
      </w:r>
      <w:r w:rsidR="008B4CC5">
        <w:rPr>
          <w:rFonts w:eastAsiaTheme="minorEastAsia"/>
          <w:lang w:val="de-DE"/>
        </w:rPr>
        <w:t xml:space="preserve"> Die betrachteten Werte liegen im Intervall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de-DE"/>
          </w:rPr>
          <m:t>∈</m:t>
        </m:r>
        <m:r>
          <m:rPr>
            <m:lit/>
          </m:rPr>
          <w:rPr>
            <w:rFonts w:ascii="Cambria Math" w:eastAsiaTheme="minorEastAsia" w:hAnsi="Cambria Math"/>
            <w:lang w:val="de-DE"/>
          </w:rPr>
          <m:t>[</m:t>
        </m:r>
        <m:r>
          <w:rPr>
            <w:rFonts w:ascii="Cambria Math" w:eastAsiaTheme="minorEastAsia" w:hAnsi="Cambria Math"/>
            <w:lang w:val="de-DE"/>
          </w:rPr>
          <m:t>80,120</m:t>
        </m:r>
        <m:r>
          <m:rPr>
            <m:lit/>
          </m:rPr>
          <w:rPr>
            <w:rFonts w:ascii="Cambria Math" w:eastAsiaTheme="minorEastAsia" w:hAnsi="Cambria Math"/>
            <w:lang w:val="de-DE"/>
          </w:rPr>
          <m:t>]</m:t>
        </m:r>
      </m:oMath>
      <w:r w:rsidR="001F62C1">
        <w:rPr>
          <w:rFonts w:eastAsiaTheme="minorEastAsia"/>
          <w:lang w:val="de-DE"/>
        </w:rPr>
        <w:t xml:space="preserve"> EUR</w:t>
      </w:r>
      <w:r w:rsidR="00CD7707">
        <w:rPr>
          <w:rFonts w:eastAsiaTheme="minorEastAsia"/>
          <w:lang w:val="de-DE"/>
        </w:rPr>
        <w:t>.</w:t>
      </w:r>
    </w:p>
    <w:p w14:paraId="306409AC" w14:textId="725FDB47" w:rsidR="005A0520" w:rsidRPr="002A3117" w:rsidRDefault="00E246C0" w:rsidP="00521F56">
      <w:pPr>
        <w:pStyle w:val="Listenabsatz"/>
        <w:numPr>
          <w:ilvl w:val="0"/>
          <w:numId w:val="2"/>
        </w:numPr>
        <w:rPr>
          <w:lang w:val="de-DE"/>
        </w:rPr>
      </w:pPr>
      <w:r w:rsidRPr="00521F56">
        <w:rPr>
          <w:lang w:val="de-DE"/>
        </w:rPr>
        <w:t xml:space="preserve">Stellt sicher, dass </w:t>
      </w:r>
      <w:r w:rsidR="008E7C58">
        <w:rPr>
          <w:lang w:val="de-DE"/>
        </w:rPr>
        <w:t>die Parameter</w:t>
      </w:r>
      <w:r w:rsidRPr="00521F56">
        <w:rPr>
          <w:lang w:val="de-DE"/>
        </w:rPr>
        <w:t xml:space="preserve"> </w:t>
      </w:r>
      <w:r w:rsidR="00A3417F" w:rsidRPr="00521F56">
        <w:rPr>
          <w:lang w:val="de-DE"/>
        </w:rPr>
        <w:t xml:space="preserve">zunächst </w:t>
      </w:r>
      <w:r w:rsidRPr="00521F56">
        <w:rPr>
          <w:lang w:val="de-DE"/>
        </w:rPr>
        <w:t xml:space="preserve">auf </w:t>
      </w:r>
      <w:r w:rsidR="00A3417F" w:rsidRPr="00521F56">
        <w:rPr>
          <w:lang w:val="de-DE"/>
        </w:rPr>
        <w:t>die Standar</w:t>
      </w:r>
      <w:r w:rsidR="00394F9F">
        <w:rPr>
          <w:lang w:val="de-DE"/>
        </w:rPr>
        <w:t>d</w:t>
      </w:r>
      <w:r w:rsidR="00A3417F" w:rsidRPr="00521F56">
        <w:rPr>
          <w:lang w:val="de-DE"/>
        </w:rPr>
        <w:t>werte</w:t>
      </w:r>
      <w:r w:rsidR="00A3417F" w:rsidRPr="00521F56"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 xml:space="preserve">K=99 </m:t>
        </m:r>
      </m:oMath>
      <w:r w:rsidR="00A3417F" w:rsidRPr="00521F56">
        <w:rPr>
          <w:rFonts w:eastAsiaTheme="minorEastAsia"/>
          <w:lang w:val="de-DE"/>
        </w:rPr>
        <w:t xml:space="preserve">, </w:t>
      </w:r>
      <m:oMath>
        <m:r>
          <w:rPr>
            <w:rFonts w:ascii="Cambria Math" w:eastAsiaTheme="minorEastAsia" w:hAnsi="Cambria Math"/>
            <w:lang w:val="de-DE"/>
          </w:rPr>
          <m:t>r=0.03</m:t>
        </m:r>
      </m:oMath>
      <w:r w:rsidR="00A3417F" w:rsidRPr="00521F56">
        <w:rPr>
          <w:rFonts w:eastAsiaTheme="minorEastAsia"/>
          <w:lang w:val="de-DE"/>
        </w:rPr>
        <w:t xml:space="preserve">, </w:t>
      </w:r>
      <m:oMath>
        <m:r>
          <w:rPr>
            <w:rFonts w:ascii="Cambria Math" w:eastAsiaTheme="minorEastAsia" w:hAnsi="Cambria Math"/>
            <w:lang w:val="de-DE"/>
          </w:rPr>
          <m:t xml:space="preserve">σ=0.03 </m:t>
        </m:r>
      </m:oMath>
      <w:r w:rsidR="00680EAF" w:rsidRPr="00521F56">
        <w:rPr>
          <w:rFonts w:eastAsiaTheme="minorEastAsia"/>
          <w:lang w:val="de-DE"/>
        </w:rPr>
        <w:t xml:space="preserve">und </w:t>
      </w:r>
      <m:oMath>
        <m:r>
          <w:rPr>
            <w:rFonts w:ascii="Cambria Math" w:eastAsiaTheme="minorEastAsia" w:hAnsi="Cambria Math"/>
            <w:lang w:val="de-DE"/>
          </w:rPr>
          <m:t>t=1</m:t>
        </m:r>
      </m:oMath>
      <w:r w:rsidRPr="00521F56">
        <w:rPr>
          <w:rFonts w:eastAsiaTheme="minorEastAsia"/>
          <w:lang w:val="de-DE"/>
        </w:rPr>
        <w:t xml:space="preserve">, gesetzt sind. </w:t>
      </w:r>
      <w:r w:rsidR="00521F56">
        <w:rPr>
          <w:rFonts w:eastAsiaTheme="minorEastAsia"/>
          <w:lang w:val="de-DE"/>
        </w:rPr>
        <w:br/>
        <w:t>Betrachtet die Lösung für diese Werte durch Ausführung des Code-Blocks zur Darstellung.</w:t>
      </w:r>
    </w:p>
    <w:p w14:paraId="5C9487E6" w14:textId="4FF02536" w:rsidR="002A3117" w:rsidRPr="00521F56" w:rsidRDefault="002A3117" w:rsidP="002A3117">
      <w:pPr>
        <w:pStyle w:val="Listenabsatz"/>
        <w:ind w:left="1080"/>
        <w:rPr>
          <w:lang w:val="de-DE"/>
        </w:rPr>
      </w:pPr>
      <w:r>
        <w:rPr>
          <w:rFonts w:eastAsiaTheme="minorEastAsia"/>
          <w:lang w:val="de-DE"/>
        </w:rPr>
        <w:t xml:space="preserve">Warum steigt der Wert der Call-Option bereits, wenn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  <m:r>
          <w:rPr>
            <w:rFonts w:ascii="Cambria Math" w:eastAsiaTheme="minorEastAsia" w:hAnsi="Cambria Math"/>
            <w:lang w:val="de-DE"/>
          </w:rPr>
          <m:t>&lt;K</m:t>
        </m:r>
      </m:oMath>
      <w:r>
        <w:rPr>
          <w:rFonts w:eastAsiaTheme="minorEastAsia"/>
          <w:lang w:val="de-DE"/>
        </w:rPr>
        <w:t>?</w:t>
      </w:r>
    </w:p>
    <w:p w14:paraId="1E447A00" w14:textId="2791F5EE" w:rsidR="00521F56" w:rsidRPr="0080027E" w:rsidRDefault="00521F56" w:rsidP="00521F5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Setzt nun </w:t>
      </w:r>
      <m:oMath>
        <m:r>
          <w:rPr>
            <w:rFonts w:ascii="Cambria Math" w:hAnsi="Cambria Math"/>
            <w:lang w:val="de-DE"/>
          </w:rPr>
          <m:t xml:space="preserve">t </m:t>
        </m:r>
      </m:oMath>
      <w:r>
        <w:rPr>
          <w:lang w:val="de-DE"/>
        </w:rPr>
        <w:t xml:space="preserve">auf  </w:t>
      </w:r>
      <m:oMath>
        <m:r>
          <w:rPr>
            <w:rFonts w:ascii="Cambria Math" w:hAnsi="Cambria Math"/>
            <w:lang w:val="de-DE"/>
          </w:rPr>
          <m:t>0.0001</m:t>
        </m:r>
      </m:oMath>
      <w:r w:rsidR="00594015">
        <w:rPr>
          <w:rFonts w:eastAsiaTheme="minorEastAsia"/>
          <w:lang w:val="de-DE"/>
        </w:rPr>
        <w:t>. Was beobachtet Ihr? Warum?</w:t>
      </w:r>
    </w:p>
    <w:p w14:paraId="22EAA4CC" w14:textId="635B21D5" w:rsidR="0080027E" w:rsidRPr="00394F9F" w:rsidRDefault="0080027E" w:rsidP="0080027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Setzt nun </w:t>
      </w:r>
      <m:oMath>
        <m:r>
          <w:rPr>
            <w:rFonts w:ascii="Cambria Math" w:hAnsi="Cambria Math"/>
            <w:lang w:val="de-DE"/>
          </w:rPr>
          <m:t xml:space="preserve">t </m:t>
        </m:r>
      </m:oMath>
      <w:r>
        <w:rPr>
          <w:lang w:val="de-DE"/>
        </w:rPr>
        <w:t xml:space="preserve">auf  </w:t>
      </w:r>
      <m:oMath>
        <m:r>
          <w:rPr>
            <w:rFonts w:ascii="Cambria Math" w:hAnsi="Cambria Math"/>
            <w:lang w:val="de-DE"/>
          </w:rPr>
          <m:t>100</m:t>
        </m:r>
      </m:oMath>
      <w:r>
        <w:rPr>
          <w:rFonts w:eastAsiaTheme="minorEastAsia"/>
          <w:lang w:val="de-DE"/>
        </w:rPr>
        <w:t>. Was beobachtet Ihr? Warum?</w:t>
      </w:r>
    </w:p>
    <w:p w14:paraId="79A67250" w14:textId="24674763" w:rsidR="00521F56" w:rsidRPr="00832AAE" w:rsidRDefault="00394F9F" w:rsidP="000E2B7A">
      <w:pPr>
        <w:pStyle w:val="Listenabsatz"/>
        <w:numPr>
          <w:ilvl w:val="0"/>
          <w:numId w:val="2"/>
        </w:numPr>
        <w:rPr>
          <w:lang w:val="de-DE"/>
        </w:rPr>
      </w:pPr>
      <w:r w:rsidRPr="001E4A29">
        <w:rPr>
          <w:rFonts w:eastAsiaTheme="minorEastAsia"/>
          <w:lang w:val="de-DE"/>
        </w:rPr>
        <w:t xml:space="preserve">Setzt nun die </w:t>
      </w:r>
      <w:r w:rsidR="00834028">
        <w:rPr>
          <w:rFonts w:eastAsiaTheme="minorEastAsia"/>
          <w:lang w:val="de-DE"/>
        </w:rPr>
        <w:t xml:space="preserve">Parameter </w:t>
      </w:r>
      <w:r w:rsidRPr="001E4A29">
        <w:rPr>
          <w:rFonts w:eastAsiaTheme="minorEastAsia"/>
          <w:lang w:val="de-DE"/>
        </w:rPr>
        <w:t>auf die Standardwerte</w:t>
      </w:r>
      <w:r w:rsidR="001E4A29" w:rsidRPr="001E4A29">
        <w:rPr>
          <w:rFonts w:eastAsiaTheme="minorEastAsia"/>
          <w:lang w:val="de-DE"/>
        </w:rPr>
        <w:t xml:space="preserve"> und </w:t>
      </w:r>
      <m:oMath>
        <m:r>
          <w:rPr>
            <w:rFonts w:ascii="Cambria Math" w:eastAsiaTheme="minorEastAsia" w:hAnsi="Cambria Math"/>
            <w:lang w:val="de-DE"/>
          </w:rPr>
          <m:t xml:space="preserve">r = </m:t>
        </m:r>
        <m:r>
          <m:rPr>
            <m:sty m:val="p"/>
          </m:rPr>
          <w:rPr>
            <w:rFonts w:ascii="Cambria Math" w:eastAsiaTheme="minorEastAsia" w:hAnsi="Cambria Math"/>
            <w:lang w:val="de-DE"/>
          </w:rPr>
          <m:t>σ</m:t>
        </m:r>
        <m:r>
          <w:rPr>
            <w:rFonts w:ascii="Cambria Math" w:eastAsiaTheme="minorEastAsia" w:hAnsi="Cambria Math"/>
            <w:lang w:val="de-DE"/>
          </w:rPr>
          <m:t>=0.0001</m:t>
        </m:r>
      </m:oMath>
      <w:r w:rsidR="001E4A29" w:rsidRPr="001E4A29">
        <w:rPr>
          <w:rFonts w:eastAsiaTheme="minorEastAsia"/>
          <w:lang w:val="de-DE"/>
        </w:rPr>
        <w:t>. Was beobachtet Ihr? Warum?</w:t>
      </w:r>
    </w:p>
    <w:p w14:paraId="58FE9FBE" w14:textId="77777777" w:rsidR="00BE7F9F" w:rsidRDefault="00BE7F9F" w:rsidP="00BE7F9F">
      <w:pPr>
        <w:pStyle w:val="berschrift2"/>
        <w:rPr>
          <w:lang w:val="de-DE"/>
        </w:rPr>
      </w:pPr>
    </w:p>
    <w:p w14:paraId="39C8E113" w14:textId="1A813C1C" w:rsidR="00832AAE" w:rsidRDefault="00832AAE" w:rsidP="00BE7F9F">
      <w:pPr>
        <w:pStyle w:val="berschrift2"/>
        <w:rPr>
          <w:lang w:val="de-DE"/>
        </w:rPr>
      </w:pPr>
      <w:r>
        <w:rPr>
          <w:lang w:val="de-DE"/>
        </w:rPr>
        <w:t xml:space="preserve">Aufgabe 2 – </w:t>
      </w:r>
      <w:r w:rsidR="00C46548">
        <w:rPr>
          <w:lang w:val="de-DE"/>
        </w:rPr>
        <w:t xml:space="preserve">Monte-Carlo </w:t>
      </w:r>
      <w:r>
        <w:rPr>
          <w:lang w:val="de-DE"/>
        </w:rPr>
        <w:t>Simulation des Preis</w:t>
      </w:r>
      <w:r w:rsidR="00DE3602">
        <w:rPr>
          <w:lang w:val="de-DE"/>
        </w:rPr>
        <w:t>es</w:t>
      </w:r>
      <w:r>
        <w:rPr>
          <w:lang w:val="de-DE"/>
        </w:rPr>
        <w:t xml:space="preserve"> des Underlying</w:t>
      </w:r>
    </w:p>
    <w:p w14:paraId="7A4F22B0" w14:textId="77777777" w:rsidR="001C36C0" w:rsidRPr="001C36C0" w:rsidRDefault="001C36C0" w:rsidP="001C36C0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E7F9F" w14:paraId="5F414045" w14:textId="77777777" w:rsidTr="00BE7F9F">
        <w:tc>
          <w:tcPr>
            <w:tcW w:w="3070" w:type="dxa"/>
          </w:tcPr>
          <w:p w14:paraId="5AD75A9A" w14:textId="061CE6C4" w:rsidR="00BE7F9F" w:rsidRDefault="00BE7F9F" w:rsidP="00BE7F9F">
            <w:pPr>
              <w:rPr>
                <w:lang w:val="de-DE"/>
              </w:rPr>
            </w:pPr>
            <w:r>
              <w:rPr>
                <w:lang w:val="de-DE"/>
              </w:rPr>
              <w:t xml:space="preserve">Gruppe </w:t>
            </w:r>
            <w:r w:rsidR="00C63992">
              <w:rPr>
                <w:lang w:val="de-DE"/>
              </w:rPr>
              <w:t>Black</w:t>
            </w:r>
          </w:p>
        </w:tc>
        <w:tc>
          <w:tcPr>
            <w:tcW w:w="3071" w:type="dxa"/>
          </w:tcPr>
          <w:p w14:paraId="12BBA58F" w14:textId="721DA6DF" w:rsidR="00BE7F9F" w:rsidRDefault="00BE7F9F" w:rsidP="00BE7F9F">
            <w:pPr>
              <w:rPr>
                <w:lang w:val="de-DE"/>
              </w:rPr>
            </w:pPr>
            <w:r>
              <w:rPr>
                <w:lang w:val="de-DE"/>
              </w:rPr>
              <w:t xml:space="preserve">Gruppe </w:t>
            </w:r>
            <w:r w:rsidR="00C63992">
              <w:rPr>
                <w:lang w:val="de-DE"/>
              </w:rPr>
              <w:t>Scholes</w:t>
            </w:r>
          </w:p>
        </w:tc>
        <w:tc>
          <w:tcPr>
            <w:tcW w:w="3071" w:type="dxa"/>
          </w:tcPr>
          <w:p w14:paraId="43CB09BC" w14:textId="67D37DA9" w:rsidR="00BE7F9F" w:rsidRDefault="00BE7F9F" w:rsidP="00BE7F9F">
            <w:pPr>
              <w:rPr>
                <w:lang w:val="de-DE"/>
              </w:rPr>
            </w:pPr>
            <w:r>
              <w:rPr>
                <w:lang w:val="de-DE"/>
              </w:rPr>
              <w:t xml:space="preserve">Gruppe </w:t>
            </w:r>
            <w:r w:rsidR="00C63992">
              <w:rPr>
                <w:lang w:val="de-DE"/>
              </w:rPr>
              <w:t>Merton</w:t>
            </w:r>
          </w:p>
        </w:tc>
      </w:tr>
      <w:tr w:rsidR="00BE7F9F" w14:paraId="26A3BEC5" w14:textId="77777777" w:rsidTr="00BE7F9F">
        <w:tc>
          <w:tcPr>
            <w:tcW w:w="3070" w:type="dxa"/>
          </w:tcPr>
          <w:p w14:paraId="654B8223" w14:textId="6046D04B" w:rsidR="00BE7F9F" w:rsidRDefault="00BE7F9F" w:rsidP="00BE7F9F">
            <w:pPr>
              <w:rPr>
                <w:lang w:val="de-DE"/>
              </w:rPr>
            </w:pPr>
            <w:r>
              <w:rPr>
                <w:lang w:val="de-DE"/>
              </w:rPr>
              <w:t>…</w:t>
            </w:r>
          </w:p>
        </w:tc>
        <w:tc>
          <w:tcPr>
            <w:tcW w:w="3071" w:type="dxa"/>
          </w:tcPr>
          <w:p w14:paraId="1CCC6836" w14:textId="42F739E6" w:rsidR="00BE7F9F" w:rsidRDefault="00BE7F9F" w:rsidP="00BE7F9F">
            <w:pPr>
              <w:rPr>
                <w:lang w:val="de-DE"/>
              </w:rPr>
            </w:pPr>
            <w:r>
              <w:rPr>
                <w:lang w:val="de-DE"/>
              </w:rPr>
              <w:t>…</w:t>
            </w:r>
          </w:p>
        </w:tc>
        <w:tc>
          <w:tcPr>
            <w:tcW w:w="3071" w:type="dxa"/>
          </w:tcPr>
          <w:p w14:paraId="68C69DE1" w14:textId="2C67D924" w:rsidR="00BE7F9F" w:rsidRDefault="00BE7F9F" w:rsidP="00BE7F9F">
            <w:pPr>
              <w:rPr>
                <w:lang w:val="de-DE"/>
              </w:rPr>
            </w:pPr>
            <w:r>
              <w:rPr>
                <w:lang w:val="de-DE"/>
              </w:rPr>
              <w:t>…</w:t>
            </w:r>
          </w:p>
        </w:tc>
      </w:tr>
    </w:tbl>
    <w:p w14:paraId="186E082A" w14:textId="77777777" w:rsidR="00BE7F9F" w:rsidRDefault="00BE7F9F" w:rsidP="00BE7F9F">
      <w:pPr>
        <w:rPr>
          <w:lang w:val="de-DE"/>
        </w:rPr>
      </w:pPr>
    </w:p>
    <w:p w14:paraId="0A1C1850" w14:textId="328A4DE2" w:rsidR="0016218C" w:rsidRDefault="00170C85" w:rsidP="0016218C">
      <w:pPr>
        <w:rPr>
          <w:lang w:val="de-DE"/>
        </w:rPr>
      </w:pPr>
      <w:r>
        <w:rPr>
          <w:lang w:val="de-DE"/>
        </w:rPr>
        <w:t>Das Ziel dieser Aufgabe ist es sich mit der elementaren Struktur der Monte-Carlo Simulation und der Implementation in Python vertraut zu machen.</w:t>
      </w:r>
      <w:r w:rsidR="000B75CA">
        <w:rPr>
          <w:lang w:val="de-DE"/>
        </w:rPr>
        <w:t xml:space="preserve"> Der Wert der Option wird bestimmt, indem </w:t>
      </w:r>
      <w:r w:rsidR="000C7A03">
        <w:rPr>
          <w:lang w:val="de-DE"/>
        </w:rPr>
        <w:t xml:space="preserve">der Preis des </w:t>
      </w:r>
      <w:r>
        <w:rPr>
          <w:lang w:val="de-DE"/>
        </w:rPr>
        <w:t>Unterlying</w:t>
      </w:r>
      <w:r w:rsidR="00252586">
        <w:rPr>
          <w:lang w:val="de-DE"/>
        </w:rPr>
        <w:t>s</w:t>
      </w:r>
      <w:r>
        <w:rPr>
          <w:lang w:val="de-DE"/>
        </w:rPr>
        <w:t>,</w:t>
      </w:r>
      <w:r w:rsidR="000C7A03">
        <w:rPr>
          <w:lang w:val="de-DE"/>
        </w:rPr>
        <w:t xml:space="preserve"> vielfach simuliert wird. Hieraus wird vielfach der Wert der Option bei Laufzeitende und der Erwartungswert </w:t>
      </w:r>
      <w:r w:rsidR="00E46099">
        <w:rPr>
          <w:lang w:val="de-DE"/>
        </w:rPr>
        <w:t>über den Mittelwert</w:t>
      </w:r>
      <w:r>
        <w:rPr>
          <w:lang w:val="de-DE"/>
        </w:rPr>
        <w:t xml:space="preserve"> </w:t>
      </w:r>
      <w:r w:rsidR="000C7A03">
        <w:rPr>
          <w:lang w:val="de-DE"/>
        </w:rPr>
        <w:t>bestimmt. Der Wert Der Option bei Laufzeitbeginn kann nun durch Diskontierung bestimmt werden.</w:t>
      </w:r>
      <w:r w:rsidR="000B75CA">
        <w:rPr>
          <w:lang w:val="de-DE"/>
        </w:rPr>
        <w:t xml:space="preserve"> </w:t>
      </w:r>
    </w:p>
    <w:p w14:paraId="148CED93" w14:textId="77777777" w:rsidR="00F75373" w:rsidRDefault="00F75373" w:rsidP="00F75373">
      <w:pPr>
        <w:pStyle w:val="berschrift3"/>
        <w:rPr>
          <w:lang w:val="de-DE"/>
        </w:rPr>
      </w:pPr>
      <w:r>
        <w:rPr>
          <w:lang w:val="de-DE"/>
        </w:rPr>
        <w:t xml:space="preserve">     </w:t>
      </w:r>
    </w:p>
    <w:p w14:paraId="0BCC9DE2" w14:textId="250302BF" w:rsidR="00F75373" w:rsidRPr="00F75373" w:rsidRDefault="00F75373" w:rsidP="00AB15FF">
      <w:pPr>
        <w:pStyle w:val="berschrift3"/>
        <w:numPr>
          <w:ilvl w:val="0"/>
          <w:numId w:val="3"/>
        </w:numPr>
        <w:rPr>
          <w:lang w:val="de-DE"/>
        </w:rPr>
      </w:pPr>
      <w:r>
        <w:t>Simulationsfunktion</w:t>
      </w:r>
    </w:p>
    <w:p w14:paraId="1415B9AD" w14:textId="34FEE38B" w:rsidR="00F75373" w:rsidRDefault="00A21C72" w:rsidP="00F75373">
      <w:pPr>
        <w:rPr>
          <w:rFonts w:eastAsiaTheme="minorEastAsia"/>
          <w:lang w:val="de-DE"/>
        </w:rPr>
      </w:pPr>
      <w:r>
        <w:rPr>
          <w:lang w:val="de-DE"/>
        </w:rPr>
        <w:t xml:space="preserve">Die </w:t>
      </w:r>
      <w:r w:rsidR="00003054">
        <w:rPr>
          <w:lang w:val="de-DE"/>
        </w:rPr>
        <w:t xml:space="preserve">zugrunde </w:t>
      </w:r>
      <w:r>
        <w:rPr>
          <w:lang w:val="de-DE"/>
        </w:rPr>
        <w:t xml:space="preserve">liegende Dynamik des </w:t>
      </w:r>
      <w:r w:rsidR="002C7C86">
        <w:rPr>
          <w:lang w:val="de-DE"/>
        </w:rPr>
        <w:t xml:space="preserve">Wertes </w:t>
      </w:r>
      <m:oMath>
        <m:r>
          <w:rPr>
            <w:rFonts w:ascii="Cambria Math" w:hAnsi="Cambria Math"/>
            <w:lang w:val="de-DE"/>
          </w:rPr>
          <m:t>S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t</m:t>
            </m:r>
          </m:e>
        </m:d>
        <m:r>
          <w:rPr>
            <w:rFonts w:ascii="Cambria Math" w:hAnsi="Cambria Math"/>
            <w:lang w:val="de-DE"/>
          </w:rPr>
          <m:t>=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S</m:t>
            </m:r>
          </m:e>
          <m:sub>
            <m:r>
              <w:rPr>
                <w:rFonts w:ascii="Cambria Math" w:hAnsi="Cambria Math"/>
                <w:lang w:val="de-DE"/>
              </w:rPr>
              <m:t>t</m:t>
            </m:r>
          </m:sub>
        </m:sSub>
        <m:r>
          <w:rPr>
            <w:rFonts w:ascii="Cambria Math" w:hAnsi="Cambria Math"/>
            <w:lang w:val="de-DE"/>
          </w:rPr>
          <m:t xml:space="preserve"> </m:t>
        </m:r>
      </m:oMath>
      <w:r w:rsidR="002C7C86">
        <w:rPr>
          <w:lang w:val="de-DE"/>
        </w:rPr>
        <w:t xml:space="preserve">des </w:t>
      </w:r>
      <w:r>
        <w:rPr>
          <w:lang w:val="de-DE"/>
        </w:rPr>
        <w:t>Underlying wird im Rahmen der Black-Scholes-</w:t>
      </w:r>
      <w:r w:rsidR="007A6C26">
        <w:rPr>
          <w:lang w:val="de-DE"/>
        </w:rPr>
        <w:t>Merton-</w:t>
      </w:r>
      <w:r>
        <w:rPr>
          <w:lang w:val="de-DE"/>
        </w:rPr>
        <w:t xml:space="preserve">Theorie mit Hilfe es Log-Normal Prozesses modelliert. Mit anderen Worten, </w:t>
      </w:r>
      <w:r w:rsidR="002C7C86">
        <w:rPr>
          <w:lang w:val="de-DE"/>
        </w:rPr>
        <w:t xml:space="preserve">der natürliche Logarithmus </w:t>
      </w:r>
      <m:oMath>
        <m:r>
          <m:rPr>
            <m:nor/>
          </m:rPr>
          <w:rPr>
            <w:rFonts w:ascii="Cambria Math" w:hAnsi="Cambria Math"/>
            <w:lang w:val="de-DE"/>
          </w:rPr>
          <m:t>log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de-DE"/>
          </w:rPr>
          <m:t xml:space="preserve"> </m:t>
        </m:r>
      </m:oMath>
      <w:r w:rsidR="002C7C86">
        <w:rPr>
          <w:rFonts w:eastAsiaTheme="minorEastAsia"/>
          <w:lang w:val="de-DE"/>
        </w:rPr>
        <w:t>folgt in der Simulation der diskreten Dyn</w:t>
      </w:r>
      <w:r w:rsidR="00090067">
        <w:rPr>
          <w:rFonts w:eastAsiaTheme="minorEastAsia"/>
          <w:lang w:val="de-DE"/>
        </w:rPr>
        <w:t>am</w:t>
      </w:r>
      <w:r w:rsidR="002C7C86">
        <w:rPr>
          <w:rFonts w:eastAsiaTheme="minorEastAsia"/>
          <w:lang w:val="de-DE"/>
        </w:rPr>
        <w:t>ik</w:t>
      </w:r>
    </w:p>
    <w:p w14:paraId="20A79C89" w14:textId="46802C80" w:rsidR="002C7C86" w:rsidRPr="00F75373" w:rsidRDefault="0041145A" w:rsidP="00F75373">
      <w:pPr>
        <w:rPr>
          <w:lang w:val="de-DE"/>
        </w:rPr>
      </w:pPr>
      <m:oMathPara>
        <m:oMath>
          <m:r>
            <m:rPr>
              <m:nor/>
            </m:rPr>
            <w:rPr>
              <w:rFonts w:ascii="Cambria Math" w:hAnsi="Cambria Math"/>
              <w:lang w:val="de-DE"/>
            </w:rPr>
            <m:t>ln</m:t>
          </m:r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t</m:t>
                  </m:r>
                  <m:r>
                    <w:rPr>
                      <w:rFonts w:ascii="Cambria Math" w:hAnsi="Cambria Math"/>
                      <w:lang w:val="de-DE"/>
                    </w:rPr>
                    <m:t>+ 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Δt</m:t>
                  </m: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de-DE"/>
                </w:rPr>
              </m:ctrlPr>
            </m:e>
          </m:d>
          <m:r>
            <w:rPr>
              <w:rFonts w:ascii="Cambria Math" w:hAnsi="Cambria Math"/>
              <w:lang w:val="de-DE"/>
            </w:rPr>
            <m:t> -</m:t>
          </m:r>
          <m:r>
            <m:rPr>
              <m:nor/>
            </m:rPr>
            <w:rPr>
              <w:rFonts w:ascii="Cambria Math" w:hAnsi="Cambria Math"/>
              <w:lang w:val="de-DE"/>
            </w:rPr>
            <m:t> ln</m:t>
          </m:r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de-DE"/>
                </w:rPr>
              </m:ctrlPr>
            </m:e>
          </m:d>
          <m:r>
            <w:rPr>
              <w:rFonts w:ascii="Cambria Math" w:hAnsi="Cambria Math"/>
              <w:lang w:val="de-DE"/>
            </w:rPr>
            <m:t> =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μΔt</m:t>
          </m:r>
          <m:r>
            <w:rPr>
              <w:rFonts w:ascii="Cambria Math" w:hAnsi="Cambria Math"/>
              <w:lang w:val="de-DE"/>
            </w:rPr>
            <m:t>+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σ</m:t>
          </m:r>
          <m:rad>
            <m:radPr>
              <m:degHide m:val="1"/>
              <m:ctrlPr>
                <w:rPr>
                  <w:rFonts w:ascii="Cambria Math" w:hAnsi="Cambria Math"/>
                  <w:lang w:val="de-DE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Δt</m:t>
              </m:r>
            </m:e>
          </m:rad>
          <m:r>
            <m:rPr>
              <m:sty m:val="p"/>
            </m:rPr>
            <w:rPr>
              <w:rFonts w:ascii="Cambria Math" w:hAnsi="Cambria Math"/>
              <w:lang w:val="de-DE"/>
            </w:rPr>
            <m:t> </m:t>
          </m:r>
          <m:sSub>
            <m:sSubPr>
              <m:ctrlPr>
                <w:rPr>
                  <w:rFonts w:ascii="Cambria Math" w:hAnsi="Cambria Math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DE"/>
            </w:rPr>
            <m:t>.</m:t>
          </m:r>
        </m:oMath>
      </m:oMathPara>
    </w:p>
    <w:p w14:paraId="7417C554" w14:textId="35F40C0C" w:rsidR="004E19CC" w:rsidRDefault="006A23CF" w:rsidP="00BE7F9F">
      <w:pPr>
        <w:rPr>
          <w:rFonts w:eastAsiaTheme="minorEastAsia"/>
          <w:lang w:val="de-DE"/>
        </w:rPr>
      </w:pPr>
      <w:r>
        <w:rPr>
          <w:lang w:val="de-DE"/>
        </w:rPr>
        <w:t xml:space="preserve">Hierbei bezeichnet </w:t>
      </w:r>
      <m:oMath>
        <m:r>
          <m:rPr>
            <m:sty m:val="p"/>
          </m:rPr>
          <w:rPr>
            <w:rFonts w:ascii="Cambria Math" w:hAnsi="Cambria Math"/>
            <w:lang w:val="de-DE"/>
          </w:rPr>
          <m:t>Δ</m:t>
        </m:r>
        <m:r>
          <w:rPr>
            <w:rFonts w:ascii="Cambria Math" w:hAnsi="Cambria Math"/>
            <w:lang w:val="de-DE"/>
          </w:rPr>
          <m:t>t</m:t>
        </m:r>
      </m:oMath>
      <w:r>
        <w:rPr>
          <w:rFonts w:eastAsiaTheme="minorEastAsia"/>
          <w:lang w:val="de-DE"/>
        </w:rPr>
        <w:t xml:space="preserve"> die Diskretisierung, </w:t>
      </w:r>
      <m:oMath>
        <m:r>
          <m:rPr>
            <m:sty m:val="p"/>
          </m:rPr>
          <w:rPr>
            <w:rFonts w:ascii="Cambria Math" w:eastAsiaTheme="minorEastAsia" w:hAnsi="Cambria Math"/>
            <w:lang w:val="de-DE"/>
          </w:rPr>
          <m:t>μ</m:t>
        </m:r>
        <m:r>
          <w:rPr>
            <w:rFonts w:ascii="Cambria Math" w:eastAsiaTheme="minorEastAsia" w:hAnsi="Cambria Math"/>
            <w:lang w:val="de-DE"/>
          </w:rPr>
          <m:t>=r-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de-DE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2</m:t>
            </m:r>
          </m:sup>
        </m:sSup>
        <m:r>
          <m:rPr>
            <m:lit/>
          </m:rPr>
          <w:rPr>
            <w:rFonts w:ascii="Cambria Math" w:eastAsiaTheme="minorEastAsia" w:hAnsi="Cambria Math"/>
            <w:lang w:val="de-DE"/>
          </w:rPr>
          <m:t>/</m:t>
        </m:r>
        <m:r>
          <w:rPr>
            <w:rFonts w:ascii="Cambria Math" w:eastAsiaTheme="minorEastAsia" w:hAnsi="Cambria Math"/>
            <w:lang w:val="de-DE"/>
          </w:rPr>
          <m:t>2</m:t>
        </m:r>
      </m:oMath>
      <w:r w:rsidR="00090067">
        <w:rPr>
          <w:rFonts w:eastAsiaTheme="minorEastAsia"/>
          <w:lang w:val="de-DE"/>
        </w:rPr>
        <w:t xml:space="preserve"> den Drift</w:t>
      </w:r>
      <w:r w:rsidR="00E95A1A">
        <w:rPr>
          <w:rFonts w:eastAsiaTheme="minorEastAsia"/>
          <w:lang w:val="de-DE"/>
        </w:rPr>
        <w:t>,</w:t>
      </w:r>
      <w:r w:rsidR="00090067">
        <w:rPr>
          <w:rFonts w:eastAsiaTheme="minorEastAsia"/>
          <w:lang w:val="de-DE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t</m:t>
            </m:r>
          </m:sub>
        </m:sSub>
      </m:oMath>
      <w:r w:rsidR="00090067">
        <w:rPr>
          <w:rFonts w:eastAsiaTheme="minorEastAsia"/>
          <w:lang w:val="de-DE"/>
        </w:rPr>
        <w:t xml:space="preserve"> eine </w:t>
      </w:r>
      <w:r w:rsidR="00EC20F6">
        <w:rPr>
          <w:rFonts w:eastAsiaTheme="minorEastAsia"/>
          <w:lang w:val="de-DE"/>
        </w:rPr>
        <w:t>standardnormalverteilte Zufallsvariable</w:t>
      </w:r>
      <w:r w:rsidR="0041145A">
        <w:rPr>
          <w:rFonts w:eastAsiaTheme="minorEastAsia"/>
          <w:lang w:val="de-DE"/>
        </w:rPr>
        <w:t>, welche in jedem Zeitschri</w:t>
      </w:r>
      <w:r w:rsidR="00DA46C8">
        <w:rPr>
          <w:rFonts w:eastAsiaTheme="minorEastAsia"/>
          <w:lang w:val="de-DE"/>
        </w:rPr>
        <w:t>t</w:t>
      </w:r>
      <w:r w:rsidR="0041145A">
        <w:rPr>
          <w:rFonts w:eastAsiaTheme="minorEastAsia"/>
          <w:lang w:val="de-DE"/>
        </w:rPr>
        <w:t xml:space="preserve">t neu gezogen wird. </w:t>
      </w:r>
    </w:p>
    <w:p w14:paraId="22CB0726" w14:textId="37AB7DDE" w:rsidR="008A3E8D" w:rsidRPr="0069027B" w:rsidRDefault="008A3E8D" w:rsidP="008A3E8D">
      <w:pPr>
        <w:pStyle w:val="Listenabsatz"/>
        <w:numPr>
          <w:ilvl w:val="0"/>
          <w:numId w:val="4"/>
        </w:numPr>
        <w:rPr>
          <w:rFonts w:eastAsiaTheme="minorEastAsia"/>
          <w:lang w:val="de-DE"/>
        </w:rPr>
      </w:pPr>
      <w:r>
        <w:rPr>
          <w:lang w:val="de-DE"/>
        </w:rPr>
        <w:t>Definiert eine Konstante, die den Logarithmus</w:t>
      </w:r>
      <w:r w:rsidR="0069027B">
        <w:rPr>
          <w:lang w:val="de-DE"/>
        </w:rPr>
        <w:t xml:space="preserve"> des Wertes des Unterlying </w:t>
      </w:r>
      <m:oMath>
        <m:r>
          <m:rPr>
            <m:nor/>
          </m:rPr>
          <w:rPr>
            <w:rFonts w:ascii="Cambria Math" w:hAnsi="Cambria Math"/>
            <w:lang w:val="de-DE"/>
          </w:rPr>
          <m:t>ln</m:t>
        </m:r>
        <m:d>
          <m:dPr>
            <m:ctrlPr>
              <w:rPr>
                <w:rFonts w:ascii="Cambria Math" w:hAnsi="Cambria Math"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S</m:t>
            </m:r>
            <m:d>
              <m:dPr>
                <m:ctrlPr>
                  <w:rPr>
                    <w:rFonts w:ascii="Cambria Math" w:hAnsi="Cambria Math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t</m:t>
                </m:r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</m:d>
            <m:ctrlPr>
              <w:rPr>
                <w:rFonts w:ascii="Cambria Math" w:hAnsi="Cambria Math"/>
                <w:i/>
                <w:lang w:val="de-DE"/>
              </w:rPr>
            </m:ctrlPr>
          </m:e>
        </m:d>
        <m:r>
          <w:rPr>
            <w:rFonts w:ascii="Cambria Math" w:hAnsi="Cambria Math"/>
            <w:lang w:val="de-DE"/>
          </w:rPr>
          <m:t> </m:t>
        </m:r>
      </m:oMath>
    </w:p>
    <w:p w14:paraId="48BBBA06" w14:textId="26502966" w:rsidR="0069027B" w:rsidRDefault="0069027B" w:rsidP="0069027B">
      <w:pPr>
        <w:pStyle w:val="Listenabsatz"/>
        <w:ind w:left="1080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bezeichnet.</w:t>
      </w:r>
    </w:p>
    <w:p w14:paraId="2CCC1BC9" w14:textId="3804E34E" w:rsidR="0069027B" w:rsidRDefault="0069027B" w:rsidP="0069027B">
      <w:pPr>
        <w:pStyle w:val="Listenabsatz"/>
        <w:numPr>
          <w:ilvl w:val="0"/>
          <w:numId w:val="4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Definiert zwei Hilfskonstanten </w:t>
      </w:r>
      <m:oMath>
        <m:r>
          <w:rPr>
            <w:rFonts w:ascii="Cambria Math" w:eastAsiaTheme="minorEastAsia" w:hAnsi="Cambria Math"/>
            <w:lang w:val="de-DE"/>
          </w:rPr>
          <m:t>a=</m:t>
        </m:r>
        <m:r>
          <m:rPr>
            <m:sty m:val="p"/>
          </m:rPr>
          <w:rPr>
            <w:rFonts w:ascii="Cambria Math" w:eastAsiaTheme="minorEastAsia" w:hAnsi="Cambria Math"/>
            <w:lang w:val="de-DE"/>
          </w:rPr>
          <m:t>μΔ</m:t>
        </m:r>
        <m:r>
          <w:rPr>
            <w:rFonts w:ascii="Cambria Math" w:eastAsiaTheme="minorEastAsia" w:hAnsi="Cambria Math"/>
            <w:lang w:val="de-DE"/>
          </w:rPr>
          <m:t>t</m:t>
        </m:r>
        <m:r>
          <m:rPr>
            <m:nor/>
          </m:rPr>
          <w:rPr>
            <w:rFonts w:ascii="Cambria Math" w:eastAsiaTheme="minorEastAsia" w:hAnsi="Cambria Math"/>
            <w:lang w:val="de-DE"/>
          </w:rPr>
          <m:t xml:space="preserve">, </m:t>
        </m:r>
        <m:r>
          <w:rPr>
            <w:rFonts w:ascii="Cambria Math" w:eastAsiaTheme="minorEastAsia" w:hAnsi="Cambria Math"/>
            <w:lang w:val="de-DE"/>
          </w:rPr>
          <m:t>b=</m:t>
        </m:r>
        <m:r>
          <m:rPr>
            <m:sty m:val="p"/>
          </m:rPr>
          <w:rPr>
            <w:rFonts w:ascii="Cambria Math" w:eastAsiaTheme="minorEastAsia" w:hAnsi="Cambria Math"/>
            <w:lang w:val="de-DE"/>
          </w:rPr>
          <m:t>σ</m:t>
        </m:r>
        <m:rad>
          <m:radPr>
            <m:degHide m:val="1"/>
            <m:ctrlPr>
              <w:rPr>
                <w:rFonts w:ascii="Cambria Math" w:eastAsiaTheme="minorEastAsia" w:hAnsi="Cambria Math"/>
                <w:lang w:val="de-DE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lang w:val="de-DE"/>
              </w:rPr>
              <m:t>Δ</m:t>
            </m:r>
            <m:r>
              <w:rPr>
                <w:rFonts w:ascii="Cambria Math" w:eastAsiaTheme="minorEastAsia" w:hAnsi="Cambria Math"/>
                <w:lang w:val="de-DE"/>
              </w:rPr>
              <m:t>t</m:t>
            </m:r>
          </m:e>
        </m:rad>
      </m:oMath>
      <w:r>
        <w:rPr>
          <w:rFonts w:eastAsiaTheme="minorEastAsia"/>
          <w:lang w:val="de-DE"/>
        </w:rPr>
        <w:t xml:space="preserve">, welche in jedem Zeitschritt erneut genutzt werden, um die Rechenzeit zu minimieren. </w:t>
      </w:r>
    </w:p>
    <w:p w14:paraId="0D038038" w14:textId="64992552" w:rsidR="0069027B" w:rsidRDefault="0069027B" w:rsidP="0069027B">
      <w:pPr>
        <w:pStyle w:val="Listenabsatz"/>
        <w:numPr>
          <w:ilvl w:val="0"/>
          <w:numId w:val="4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Ergänzt die entsprechende algebraische Operation </w:t>
      </w:r>
      <w:r w:rsidR="00322F17">
        <w:rPr>
          <w:rFonts w:eastAsiaTheme="minorEastAsia"/>
          <w:lang w:val="de-DE"/>
        </w:rPr>
        <w:t xml:space="preserve">innerhalb des </w:t>
      </w:r>
      <w:r w:rsidR="00322F17" w:rsidRPr="00322F17">
        <w:rPr>
          <w:rFonts w:eastAsiaTheme="minorEastAsia"/>
          <w:i/>
          <w:iCs/>
          <w:lang w:val="de-DE"/>
        </w:rPr>
        <w:t>for-loops</w:t>
      </w:r>
      <w:r w:rsidR="00322F17" w:rsidRPr="00322F17">
        <w:rPr>
          <w:rFonts w:eastAsiaTheme="minorEastAsia"/>
          <w:lang w:val="de-DE"/>
        </w:rPr>
        <w:t>.</w:t>
      </w:r>
    </w:p>
    <w:p w14:paraId="21425F56" w14:textId="0C6E28D7" w:rsidR="00B10ED8" w:rsidRDefault="00322F17" w:rsidP="00B10ED8">
      <w:pPr>
        <w:pStyle w:val="Listenabsatz"/>
        <w:ind w:left="1080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lastRenderedPageBreak/>
        <w:t xml:space="preserve">Eine standardnormalverteilte Zufallsvariable kann mit </w:t>
      </w:r>
      <w:r w:rsidRPr="00322F17">
        <w:rPr>
          <w:rFonts w:eastAsiaTheme="minorEastAsia"/>
          <w:i/>
          <w:iCs/>
          <w:lang w:val="de-DE"/>
        </w:rPr>
        <w:t>np.random.normal()</w:t>
      </w:r>
      <w:r w:rsidRPr="00322F17">
        <w:rPr>
          <w:rFonts w:eastAsiaTheme="minorEastAsia"/>
          <w:lang w:val="de-DE"/>
        </w:rPr>
        <w:t xml:space="preserve"> gezogen werden.</w:t>
      </w:r>
    </w:p>
    <w:p w14:paraId="147B5FDF" w14:textId="03C4970C" w:rsidR="00B10ED8" w:rsidRDefault="00B10ED8" w:rsidP="00B10ED8">
      <w:pPr>
        <w:pStyle w:val="Listenabsatz"/>
        <w:numPr>
          <w:ilvl w:val="0"/>
          <w:numId w:val="4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Definiert den zurückgegebenen Wert der Funktion (return value) mit Hilfe der Exponentialfunktion </w:t>
      </w:r>
      <w:r w:rsidRPr="00B10ED8">
        <w:rPr>
          <w:rFonts w:eastAsiaTheme="minorEastAsia"/>
          <w:i/>
          <w:iCs/>
          <w:lang w:val="de-DE"/>
        </w:rPr>
        <w:t>np.exp(…)</w:t>
      </w:r>
      <w:r>
        <w:rPr>
          <w:rFonts w:eastAsiaTheme="minorEastAsia"/>
          <w:lang w:val="de-DE"/>
        </w:rPr>
        <w:t>.</w:t>
      </w:r>
    </w:p>
    <w:p w14:paraId="30846AD3" w14:textId="77777777" w:rsidR="00BE0DA5" w:rsidRPr="00BE0DA5" w:rsidRDefault="00BE0DA5" w:rsidP="00BE0DA5">
      <w:pPr>
        <w:rPr>
          <w:rFonts w:eastAsiaTheme="minorEastAsia"/>
          <w:lang w:val="de-DE"/>
        </w:rPr>
      </w:pPr>
    </w:p>
    <w:p w14:paraId="3676380B" w14:textId="408F1B10" w:rsidR="00BE7F9F" w:rsidRDefault="00BE0DA5" w:rsidP="008762DE">
      <w:pPr>
        <w:pStyle w:val="berschrift3"/>
        <w:numPr>
          <w:ilvl w:val="0"/>
          <w:numId w:val="3"/>
        </w:numPr>
        <w:rPr>
          <w:lang w:val="de-DE"/>
        </w:rPr>
      </w:pPr>
      <w:r>
        <w:rPr>
          <w:lang w:val="de-DE"/>
        </w:rPr>
        <w:t>Test</w:t>
      </w:r>
    </w:p>
    <w:p w14:paraId="2FEC42F0" w14:textId="7844DB78" w:rsidR="00BE0DA5" w:rsidRDefault="00BE0DA5" w:rsidP="00BE0DA5">
      <w:pPr>
        <w:rPr>
          <w:lang w:val="de-DE"/>
        </w:rPr>
      </w:pPr>
      <w:r>
        <w:rPr>
          <w:lang w:val="de-DE"/>
        </w:rPr>
        <w:t xml:space="preserve">Überlegt Euch einige geeignete Test-Cases </w:t>
      </w:r>
      <w:r w:rsidR="00AC4CD2">
        <w:rPr>
          <w:lang w:val="de-DE"/>
        </w:rPr>
        <w:t xml:space="preserve">bzgl. der Inputs </w:t>
      </w:r>
      <w:r>
        <w:rPr>
          <w:lang w:val="de-DE"/>
        </w:rPr>
        <w:t>und diskutiert diese</w:t>
      </w:r>
      <w:r w:rsidR="00680AFF">
        <w:rPr>
          <w:lang w:val="de-DE"/>
        </w:rPr>
        <w:t>.</w:t>
      </w:r>
    </w:p>
    <w:p w14:paraId="321E9D42" w14:textId="77777777" w:rsidR="00C54881" w:rsidRDefault="00C54881" w:rsidP="00BE0DA5">
      <w:pPr>
        <w:rPr>
          <w:lang w:val="de-DE"/>
        </w:rPr>
      </w:pPr>
    </w:p>
    <w:p w14:paraId="1B634820" w14:textId="69EC0098" w:rsidR="00C54881" w:rsidRDefault="00C54881" w:rsidP="00C54881">
      <w:pPr>
        <w:pStyle w:val="berschrift2"/>
        <w:rPr>
          <w:lang w:val="de-DE"/>
        </w:rPr>
      </w:pPr>
      <w:r>
        <w:rPr>
          <w:lang w:val="de-DE"/>
        </w:rPr>
        <w:t>Aufgabe 3 – Wert der Option</w:t>
      </w:r>
    </w:p>
    <w:p w14:paraId="6B70123B" w14:textId="77777777" w:rsidR="00C54881" w:rsidRPr="00C54881" w:rsidRDefault="00C54881" w:rsidP="00C54881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54881" w14:paraId="34E1C77A" w14:textId="77777777" w:rsidTr="00C54881">
        <w:tc>
          <w:tcPr>
            <w:tcW w:w="3070" w:type="dxa"/>
          </w:tcPr>
          <w:p w14:paraId="1BDFFE7B" w14:textId="0ACE4BA4" w:rsidR="00C54881" w:rsidRDefault="00C54881" w:rsidP="00C54881">
            <w:pPr>
              <w:rPr>
                <w:lang w:val="de-DE"/>
              </w:rPr>
            </w:pPr>
            <w:r>
              <w:rPr>
                <w:lang w:val="de-DE"/>
              </w:rPr>
              <w:t xml:space="preserve">Gruppe </w:t>
            </w:r>
            <w:r w:rsidR="003941B8">
              <w:rPr>
                <w:lang w:val="de-DE"/>
              </w:rPr>
              <w:t>Black</w:t>
            </w:r>
          </w:p>
        </w:tc>
        <w:tc>
          <w:tcPr>
            <w:tcW w:w="3071" w:type="dxa"/>
          </w:tcPr>
          <w:p w14:paraId="7B327651" w14:textId="117414F2" w:rsidR="00C54881" w:rsidRDefault="00C54881" w:rsidP="00C54881">
            <w:pPr>
              <w:rPr>
                <w:lang w:val="de-DE"/>
              </w:rPr>
            </w:pPr>
            <w:r>
              <w:rPr>
                <w:lang w:val="de-DE"/>
              </w:rPr>
              <w:t xml:space="preserve">Gruppe </w:t>
            </w:r>
            <w:r w:rsidR="003941B8">
              <w:rPr>
                <w:lang w:val="de-DE"/>
              </w:rPr>
              <w:t>Scholes</w:t>
            </w:r>
          </w:p>
        </w:tc>
        <w:tc>
          <w:tcPr>
            <w:tcW w:w="3071" w:type="dxa"/>
          </w:tcPr>
          <w:p w14:paraId="59F2061F" w14:textId="179F53A1" w:rsidR="00C54881" w:rsidRDefault="00C54881" w:rsidP="00C54881">
            <w:pPr>
              <w:rPr>
                <w:lang w:val="de-DE"/>
              </w:rPr>
            </w:pPr>
            <w:r>
              <w:rPr>
                <w:lang w:val="de-DE"/>
              </w:rPr>
              <w:t xml:space="preserve">Gruppe </w:t>
            </w:r>
            <w:r w:rsidR="003941B8">
              <w:rPr>
                <w:lang w:val="de-DE"/>
              </w:rPr>
              <w:t>Merton</w:t>
            </w:r>
          </w:p>
        </w:tc>
      </w:tr>
      <w:tr w:rsidR="00C54881" w14:paraId="56A038CF" w14:textId="77777777" w:rsidTr="00C54881">
        <w:tc>
          <w:tcPr>
            <w:tcW w:w="3070" w:type="dxa"/>
          </w:tcPr>
          <w:p w14:paraId="54AE6298" w14:textId="7C15CBA5" w:rsidR="00C54881" w:rsidRDefault="00C54881" w:rsidP="00C54881">
            <w:pPr>
              <w:rPr>
                <w:lang w:val="de-DE"/>
              </w:rPr>
            </w:pPr>
            <w:r>
              <w:rPr>
                <w:lang w:val="de-DE"/>
              </w:rPr>
              <w:t>…</w:t>
            </w:r>
          </w:p>
        </w:tc>
        <w:tc>
          <w:tcPr>
            <w:tcW w:w="3071" w:type="dxa"/>
          </w:tcPr>
          <w:p w14:paraId="410941CD" w14:textId="1FE91F89" w:rsidR="00C54881" w:rsidRDefault="00C54881" w:rsidP="00C54881">
            <w:pPr>
              <w:rPr>
                <w:lang w:val="de-DE"/>
              </w:rPr>
            </w:pPr>
            <w:r>
              <w:rPr>
                <w:lang w:val="de-DE"/>
              </w:rPr>
              <w:t>…</w:t>
            </w:r>
          </w:p>
        </w:tc>
        <w:tc>
          <w:tcPr>
            <w:tcW w:w="3071" w:type="dxa"/>
          </w:tcPr>
          <w:p w14:paraId="1B2E347C" w14:textId="16C7A4B2" w:rsidR="00C54881" w:rsidRDefault="00C54881" w:rsidP="00C54881">
            <w:pPr>
              <w:rPr>
                <w:lang w:val="de-DE"/>
              </w:rPr>
            </w:pPr>
            <w:r>
              <w:rPr>
                <w:lang w:val="de-DE"/>
              </w:rPr>
              <w:t>…</w:t>
            </w:r>
          </w:p>
        </w:tc>
      </w:tr>
    </w:tbl>
    <w:p w14:paraId="60E229AA" w14:textId="77777777" w:rsidR="00C54881" w:rsidRPr="00C54881" w:rsidRDefault="00C54881" w:rsidP="00C54881">
      <w:pPr>
        <w:rPr>
          <w:lang w:val="de-DE"/>
        </w:rPr>
      </w:pPr>
    </w:p>
    <w:p w14:paraId="2807F21D" w14:textId="5F779FC7" w:rsidR="00702C2C" w:rsidRDefault="00702C2C" w:rsidP="00BE7F9F">
      <w:pPr>
        <w:rPr>
          <w:lang w:val="de-DE"/>
        </w:rPr>
      </w:pPr>
      <w:r>
        <w:rPr>
          <w:lang w:val="de-DE"/>
        </w:rPr>
        <w:t xml:space="preserve">Jede </w:t>
      </w:r>
      <w:r w:rsidR="00254F4A">
        <w:rPr>
          <w:lang w:val="de-DE"/>
        </w:rPr>
        <w:t>Iteration</w:t>
      </w:r>
      <w:r>
        <w:rPr>
          <w:lang w:val="de-DE"/>
        </w:rPr>
        <w:t xml:space="preserve"> des </w:t>
      </w:r>
      <w:r w:rsidRPr="00702C2C">
        <w:rPr>
          <w:i/>
          <w:iCs/>
          <w:lang w:val="de-DE"/>
        </w:rPr>
        <w:t>for-loop</w:t>
      </w:r>
      <w:r>
        <w:rPr>
          <w:i/>
          <w:iCs/>
          <w:lang w:val="de-DE"/>
        </w:rPr>
        <w:t xml:space="preserve"> </w:t>
      </w:r>
      <w:r w:rsidRPr="00702C2C">
        <w:rPr>
          <w:lang w:val="de-DE"/>
        </w:rPr>
        <w:t>definiert einen möglichen Verlauf des Preises des Underlying</w:t>
      </w:r>
      <w:r>
        <w:rPr>
          <w:lang w:val="de-DE"/>
        </w:rPr>
        <w:t xml:space="preserve">. </w:t>
      </w:r>
    </w:p>
    <w:p w14:paraId="311E3D0A" w14:textId="1FF6CA7A" w:rsidR="001F2FC4" w:rsidRDefault="001F2FC4" w:rsidP="00BE7F9F">
      <w:pPr>
        <w:rPr>
          <w:lang w:val="de-DE"/>
        </w:rPr>
      </w:pPr>
      <w:r>
        <w:rPr>
          <w:lang w:val="de-DE"/>
        </w:rPr>
        <w:t xml:space="preserve">Solltet Ihr den Code während der Programmierung zum Testen ausführen, verringert gerne den Wert der Variablen </w:t>
      </w:r>
      <m:oMath>
        <m:r>
          <w:rPr>
            <w:rFonts w:ascii="Cambria Math" w:hAnsi="Cambria Math"/>
            <w:lang w:val="de-DE"/>
          </w:rPr>
          <m:t>Nsims</m:t>
        </m:r>
      </m:oMath>
      <w:r>
        <w:rPr>
          <w:lang w:val="de-DE"/>
        </w:rPr>
        <w:t>, um eine schnellere Rechenzeit zu gewährleisten. Am Ende sollte der Wert jedoch wieder ausreichend klein sein (</w:t>
      </w:r>
      <m:oMath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Nsims =10</m:t>
            </m:r>
          </m:e>
          <m:sup>
            <m:r>
              <w:rPr>
                <w:rFonts w:ascii="Cambria Math" w:hAnsi="Cambria Math"/>
                <w:lang w:val="de-DE"/>
              </w:rPr>
              <m:t>-3</m:t>
            </m:r>
          </m:sup>
        </m:sSup>
      </m:oMath>
      <w:r>
        <w:rPr>
          <w:lang w:val="de-DE"/>
        </w:rPr>
        <w:t>).</w:t>
      </w:r>
    </w:p>
    <w:p w14:paraId="0D9CBDAD" w14:textId="29AE8A9A" w:rsidR="00BE0DA5" w:rsidRDefault="00702C2C" w:rsidP="00702C2C">
      <w:pPr>
        <w:pStyle w:val="Listenabsatz"/>
        <w:numPr>
          <w:ilvl w:val="0"/>
          <w:numId w:val="7"/>
        </w:numPr>
        <w:rPr>
          <w:lang w:val="de-DE"/>
        </w:rPr>
      </w:pPr>
      <w:r w:rsidRPr="00702C2C">
        <w:rPr>
          <w:lang w:val="de-DE"/>
        </w:rPr>
        <w:t xml:space="preserve">Zu Beginn im </w:t>
      </w:r>
      <w:r w:rsidRPr="00702C2C">
        <w:rPr>
          <w:i/>
          <w:iCs/>
          <w:lang w:val="de-DE"/>
        </w:rPr>
        <w:t>for-loop</w:t>
      </w:r>
      <w:r w:rsidRPr="00702C2C">
        <w:rPr>
          <w:lang w:val="de-DE"/>
        </w:rPr>
        <w:t xml:space="preserve">: Definiert eine Variable, die den Wert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S</m:t>
            </m:r>
          </m:e>
          <m:sub>
            <m:r>
              <w:rPr>
                <w:rFonts w:ascii="Cambria Math" w:hAnsi="Cambria Math"/>
                <w:lang w:val="de-DE"/>
              </w:rPr>
              <m:t>t</m:t>
            </m:r>
          </m:sub>
        </m:sSub>
      </m:oMath>
      <w:r w:rsidRPr="00702C2C">
        <w:rPr>
          <w:rFonts w:eastAsiaTheme="minorEastAsia"/>
          <w:lang w:val="de-DE"/>
        </w:rPr>
        <w:t xml:space="preserve"> </w:t>
      </w:r>
      <w:r w:rsidRPr="00702C2C">
        <w:rPr>
          <w:lang w:val="de-DE"/>
        </w:rPr>
        <w:t xml:space="preserve">des Underlying bei Maturität definiert. </w:t>
      </w:r>
    </w:p>
    <w:p w14:paraId="50F6B0DF" w14:textId="2A2279CF" w:rsidR="00702C2C" w:rsidRPr="00743E6F" w:rsidRDefault="00743E6F" w:rsidP="00702C2C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Rechnet g</w:t>
      </w:r>
      <w:r w:rsidR="00702C2C">
        <w:rPr>
          <w:lang w:val="de-DE"/>
        </w:rPr>
        <w:t xml:space="preserve">emäß </w:t>
      </w:r>
      <m:oMath>
        <m:r>
          <w:rPr>
            <w:rFonts w:ascii="Cambria Math" w:hAnsi="Cambria Math"/>
            <w:lang w:val="de-DE"/>
          </w:rPr>
          <m:t>C=</m:t>
        </m:r>
        <m:r>
          <m:rPr>
            <m:nor/>
          </m:rPr>
          <w:rPr>
            <w:rFonts w:ascii="Cambria Math" w:hAnsi="Cambria Math"/>
            <w:lang w:val="de-DE"/>
          </w:rPr>
          <m:t>max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t</m:t>
                </m:r>
              </m:sub>
            </m:sSub>
            <m:r>
              <w:rPr>
                <w:rFonts w:ascii="Cambria Math" w:hAnsi="Cambria Math"/>
                <w:lang w:val="de-DE"/>
              </w:rPr>
              <m:t>-K,0</m:t>
            </m:r>
          </m:e>
        </m:d>
      </m:oMath>
      <w:r w:rsidR="00702C2C">
        <w:rPr>
          <w:rFonts w:eastAsiaTheme="minorEastAsia"/>
          <w:lang w:val="de-DE"/>
        </w:rPr>
        <w:t xml:space="preserve"> und </w:t>
      </w:r>
      <m:oMath>
        <m:r>
          <w:rPr>
            <w:rFonts w:ascii="Cambria Math" w:eastAsiaTheme="minorEastAsia" w:hAnsi="Cambria Math"/>
            <w:lang w:val="de-DE"/>
          </w:rPr>
          <m:t>P=</m:t>
        </m:r>
        <m:r>
          <m:rPr>
            <m:nor/>
          </m:rPr>
          <w:rPr>
            <w:rFonts w:ascii="Cambria Math" w:eastAsiaTheme="minorEastAsia" w:hAnsi="Cambria Math"/>
            <w:lang w:val="de-DE"/>
          </w:rPr>
          <m:t>max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K-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de-DE"/>
              </w:rPr>
              <m:t>,0</m:t>
            </m:r>
          </m:e>
        </m:d>
      </m:oMath>
      <w:r>
        <w:rPr>
          <w:rFonts w:eastAsiaTheme="minorEastAsia"/>
          <w:lang w:val="de-DE"/>
        </w:rPr>
        <w:t xml:space="preserve">, die Werte der Optionen nach Ende des möglichen Verlaufs aus. </w:t>
      </w:r>
    </w:p>
    <w:p w14:paraId="4BCC1D53" w14:textId="3A736655" w:rsidR="00743E6F" w:rsidRPr="00183C7E" w:rsidRDefault="00743E6F" w:rsidP="00702C2C">
      <w:pPr>
        <w:pStyle w:val="Listenabsatz"/>
        <w:numPr>
          <w:ilvl w:val="0"/>
          <w:numId w:val="7"/>
        </w:numPr>
        <w:rPr>
          <w:lang w:val="de-DE"/>
        </w:rPr>
      </w:pPr>
      <w:r>
        <w:rPr>
          <w:rFonts w:eastAsiaTheme="minorEastAsia"/>
          <w:lang w:val="de-DE"/>
        </w:rPr>
        <w:t xml:space="preserve">Definiert im Code vor dem </w:t>
      </w:r>
      <w:r w:rsidRPr="003D2632">
        <w:rPr>
          <w:rFonts w:eastAsiaTheme="minorEastAsia"/>
          <w:i/>
          <w:iCs/>
          <w:lang w:val="de-DE"/>
        </w:rPr>
        <w:t>for-loop</w:t>
      </w:r>
      <w:r>
        <w:rPr>
          <w:rFonts w:eastAsiaTheme="minorEastAsia"/>
          <w:lang w:val="de-DE"/>
        </w:rPr>
        <w:t xml:space="preserve"> eine Variable, die den Mittelwert definiert und fügt Code im Code-Block hinzu, welcher diesen angemessen ermittelt.</w:t>
      </w:r>
    </w:p>
    <w:p w14:paraId="705FF182" w14:textId="385D8A8F" w:rsidR="00E95A2B" w:rsidRPr="00E95A2B" w:rsidRDefault="00183C7E" w:rsidP="00043343">
      <w:pPr>
        <w:pStyle w:val="Listenabsatz"/>
        <w:numPr>
          <w:ilvl w:val="0"/>
          <w:numId w:val="7"/>
        </w:numPr>
        <w:rPr>
          <w:lang w:val="de-DE"/>
        </w:rPr>
      </w:pPr>
      <w:r w:rsidRPr="00E95A2B">
        <w:rPr>
          <w:rFonts w:eastAsiaTheme="minorEastAsia"/>
          <w:lang w:val="de-DE"/>
        </w:rPr>
        <w:t xml:space="preserve">Bestimmt den Diskontierungsfaktor </w:t>
      </w:r>
      <m:oMath>
        <m:r>
          <w:rPr>
            <w:rFonts w:ascii="Cambria Math" w:eastAsiaTheme="minorEastAsia" w:hAnsi="Cambria Math"/>
            <w:lang w:val="de-DE"/>
          </w:rPr>
          <m:t>DF=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-rt</m:t>
            </m:r>
          </m:sup>
        </m:sSup>
      </m:oMath>
      <w:r w:rsidRPr="00E95A2B">
        <w:rPr>
          <w:rFonts w:eastAsiaTheme="minorEastAsia"/>
          <w:lang w:val="de-DE"/>
        </w:rPr>
        <w:t xml:space="preserve"> mit Hilfe der Funktion </w:t>
      </w:r>
      <w:r w:rsidRPr="00E95A2B">
        <w:rPr>
          <w:rFonts w:eastAsiaTheme="minorEastAsia"/>
          <w:i/>
          <w:iCs/>
          <w:lang w:val="de-DE"/>
        </w:rPr>
        <w:t>np.exp(…)</w:t>
      </w:r>
      <w:r w:rsidRPr="00E95A2B">
        <w:rPr>
          <w:rFonts w:eastAsiaTheme="minorEastAsia"/>
          <w:lang w:val="de-DE"/>
        </w:rPr>
        <w:t xml:space="preserve">. Multipliziert den Wert der Option bei Laufzeitende mit </w:t>
      </w:r>
      <m:oMath>
        <m:r>
          <w:rPr>
            <w:rFonts w:ascii="Cambria Math" w:eastAsiaTheme="minorEastAsia" w:hAnsi="Cambria Math"/>
            <w:lang w:val="de-DE"/>
          </w:rPr>
          <m:t>DF</m:t>
        </m:r>
      </m:oMath>
      <w:r w:rsidRPr="00E95A2B">
        <w:rPr>
          <w:rFonts w:eastAsiaTheme="minorEastAsia"/>
          <w:lang w:val="de-DE"/>
        </w:rPr>
        <w:t xml:space="preserve"> und vergleicht das diskontierte Ergebnis der Simulation im Output mit der analytischen Lösung durch das Black-Scholes-Merton-Modell. </w:t>
      </w:r>
      <w:r w:rsidR="00E95A2B" w:rsidRPr="00E95A2B">
        <w:rPr>
          <w:rFonts w:eastAsiaTheme="minorEastAsia"/>
          <w:lang w:val="de-DE"/>
        </w:rPr>
        <w:t xml:space="preserve">Die Standardwerte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  <m:r>
          <w:rPr>
            <w:rFonts w:ascii="Cambria Math" w:eastAsiaTheme="minorEastAsia" w:hAnsi="Cambria Math"/>
            <w:lang w:val="de-DE"/>
          </w:rPr>
          <m:t xml:space="preserve">=100, K=99 </m:t>
        </m:r>
      </m:oMath>
      <w:r w:rsidR="00E95A2B" w:rsidRPr="00E95A2B">
        <w:rPr>
          <w:rFonts w:eastAsiaTheme="minorEastAsia"/>
          <w:lang w:val="de-DE"/>
        </w:rPr>
        <w:t xml:space="preserve">, </w:t>
      </w:r>
      <m:oMath>
        <m:r>
          <w:rPr>
            <w:rFonts w:ascii="Cambria Math" w:eastAsiaTheme="minorEastAsia" w:hAnsi="Cambria Math"/>
            <w:lang w:val="de-DE"/>
          </w:rPr>
          <m:t>r=0.03</m:t>
        </m:r>
      </m:oMath>
      <w:r w:rsidR="00E95A2B" w:rsidRPr="00E95A2B">
        <w:rPr>
          <w:rFonts w:eastAsiaTheme="minorEastAsia"/>
          <w:lang w:val="de-DE"/>
        </w:rPr>
        <w:t xml:space="preserve">, </w:t>
      </w:r>
      <m:oMath>
        <m:r>
          <w:rPr>
            <w:rFonts w:ascii="Cambria Math" w:eastAsiaTheme="minorEastAsia" w:hAnsi="Cambria Math"/>
            <w:lang w:val="de-DE"/>
          </w:rPr>
          <m:t xml:space="preserve">σ=0.03 </m:t>
        </m:r>
      </m:oMath>
      <w:r w:rsidR="00E95A2B" w:rsidRPr="00E95A2B">
        <w:rPr>
          <w:rFonts w:eastAsiaTheme="minorEastAsia"/>
          <w:lang w:val="de-DE"/>
        </w:rPr>
        <w:t xml:space="preserve">und </w:t>
      </w:r>
      <m:oMath>
        <m:r>
          <w:rPr>
            <w:rFonts w:ascii="Cambria Math" w:eastAsiaTheme="minorEastAsia" w:hAnsi="Cambria Math"/>
            <w:lang w:val="de-DE"/>
          </w:rPr>
          <m:t>t=1</m:t>
        </m:r>
      </m:oMath>
      <w:r w:rsidR="00E95A2B">
        <w:rPr>
          <w:rFonts w:eastAsiaTheme="minorEastAsia"/>
          <w:lang w:val="de-DE"/>
        </w:rPr>
        <w:t xml:space="preserve"> sollten</w:t>
      </w:r>
      <w:r w:rsidR="001F2FC4">
        <w:rPr>
          <w:rFonts w:eastAsiaTheme="minorEastAsia"/>
          <w:lang w:val="de-DE"/>
        </w:rPr>
        <w:t xml:space="preserve">, mit </w:t>
      </w:r>
      <m:oMath>
        <m:r>
          <w:rPr>
            <w:rFonts w:ascii="Cambria Math" w:eastAsiaTheme="minorEastAsia" w:hAnsi="Cambria Math"/>
            <w:lang w:val="de-DE"/>
          </w:rPr>
          <m:t>Nsims=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6</m:t>
            </m:r>
          </m:sup>
        </m:sSup>
      </m:oMath>
      <w:r w:rsidR="00E95A2B">
        <w:rPr>
          <w:rFonts w:eastAsiaTheme="minorEastAsia"/>
          <w:lang w:val="de-DE"/>
        </w:rPr>
        <w:t xml:space="preserve"> </w:t>
      </w:r>
      <w:r w:rsidR="001F2FC4">
        <w:rPr>
          <w:rFonts w:eastAsiaTheme="minorEastAsia"/>
          <w:lang w:val="de-DE"/>
        </w:rPr>
        <w:t xml:space="preserve">und </w:t>
      </w:r>
      <m:oMath>
        <m:r>
          <w:rPr>
            <w:rFonts w:ascii="Cambria Math" w:eastAsiaTheme="minorEastAsia" w:hAnsi="Cambria Math"/>
            <w:lang w:val="de-DE"/>
          </w:rPr>
          <m:t>dt=</m:t>
        </m:r>
        <m:r>
          <m:rPr>
            <m:sty m:val="p"/>
          </m:rPr>
          <w:rPr>
            <w:rFonts w:ascii="Cambria Math" w:eastAsiaTheme="minorEastAsia" w:hAnsi="Cambria Math"/>
            <w:lang w:val="de-DE"/>
          </w:rPr>
          <m:t>Δ</m:t>
        </m:r>
        <m:r>
          <w:rPr>
            <w:rFonts w:ascii="Cambria Math" w:eastAsiaTheme="minorEastAsia" w:hAnsi="Cambria Math"/>
            <w:lang w:val="de-DE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-3</m:t>
            </m:r>
          </m:sup>
        </m:sSup>
      </m:oMath>
      <w:r w:rsidR="0047606B">
        <w:rPr>
          <w:rFonts w:eastAsiaTheme="minorEastAsia"/>
          <w:lang w:val="de-DE"/>
        </w:rPr>
        <w:t xml:space="preserve"> </w:t>
      </w:r>
      <w:r w:rsidR="00E95A2B">
        <w:rPr>
          <w:rFonts w:eastAsiaTheme="minorEastAsia"/>
          <w:lang w:val="de-DE"/>
        </w:rPr>
        <w:t xml:space="preserve">einen relativen Fehler von weniger als </w:t>
      </w:r>
      <m:oMath>
        <m:r>
          <w:rPr>
            <w:rFonts w:ascii="Cambria Math" w:eastAsiaTheme="minorEastAsia" w:hAnsi="Cambria Math"/>
            <w:lang w:val="de-DE"/>
          </w:rPr>
          <m:t>0.01</m:t>
        </m:r>
      </m:oMath>
      <w:r w:rsidR="00E95A2B">
        <w:rPr>
          <w:rFonts w:eastAsiaTheme="minorEastAsia"/>
          <w:lang w:val="de-DE"/>
        </w:rPr>
        <w:t xml:space="preserve"> ergeben.</w:t>
      </w:r>
    </w:p>
    <w:p w14:paraId="09508171" w14:textId="77777777" w:rsidR="00BE7F9F" w:rsidRPr="00BE7F9F" w:rsidRDefault="00BE7F9F" w:rsidP="00BE7F9F">
      <w:pPr>
        <w:rPr>
          <w:lang w:val="de-DE"/>
        </w:rPr>
      </w:pPr>
    </w:p>
    <w:p w14:paraId="70C19A72" w14:textId="77777777" w:rsidR="00E14C9D" w:rsidRPr="00E14C9D" w:rsidRDefault="00E14C9D" w:rsidP="00E14C9D">
      <w:pPr>
        <w:rPr>
          <w:lang w:val="de-DE"/>
        </w:rPr>
      </w:pPr>
    </w:p>
    <w:p w14:paraId="06C16361" w14:textId="77777777" w:rsidR="00AB2AEC" w:rsidRPr="00AB2AEC" w:rsidRDefault="00AB2AEC" w:rsidP="00447D66">
      <w:pPr>
        <w:rPr>
          <w:rFonts w:eastAsiaTheme="minorEastAsia"/>
          <w:lang w:val="de-DE"/>
        </w:rPr>
      </w:pPr>
    </w:p>
    <w:p w14:paraId="21EDC1F6" w14:textId="440275AD" w:rsidR="00D24695" w:rsidRPr="007B7CE8" w:rsidRDefault="00297E0F" w:rsidP="007B7CE8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br/>
      </w:r>
    </w:p>
    <w:sectPr w:rsidR="00D24695" w:rsidRPr="007B7CE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BE682" w14:textId="77777777" w:rsidR="0039262D" w:rsidRDefault="0039262D" w:rsidP="00C42B7A">
      <w:pPr>
        <w:spacing w:after="0" w:line="240" w:lineRule="auto"/>
      </w:pPr>
      <w:r>
        <w:separator/>
      </w:r>
    </w:p>
  </w:endnote>
  <w:endnote w:type="continuationSeparator" w:id="0">
    <w:p w14:paraId="1CF598AC" w14:textId="77777777" w:rsidR="0039262D" w:rsidRDefault="0039262D" w:rsidP="00C4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734937589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36FFC934" w14:textId="316B5A89" w:rsidR="007C1297" w:rsidRDefault="007C1297" w:rsidP="007C1297">
        <w:pPr>
          <w:spacing w:before="100" w:beforeAutospacing="1" w:after="100" w:afterAutospacing="1"/>
        </w:pPr>
      </w:p>
      <w:tbl>
        <w:tblPr>
          <w:tblW w:w="7050" w:type="dxa"/>
          <w:tblCellSpacing w:w="0" w:type="dxa"/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696"/>
          <w:gridCol w:w="60"/>
          <w:gridCol w:w="6294"/>
        </w:tblGrid>
        <w:tr w:rsidR="007C1297" w:rsidRPr="0029597A" w14:paraId="05AAAD4F" w14:textId="77777777" w:rsidTr="007C1297">
          <w:trPr>
            <w:trHeight w:val="776"/>
            <w:tblCellSpacing w:w="0" w:type="dxa"/>
          </w:trPr>
          <w:tc>
            <w:tcPr>
              <w:tcW w:w="150" w:type="dxa"/>
              <w:vMerge w:val="restart"/>
              <w:tcMar>
                <w:top w:w="0" w:type="dxa"/>
                <w:left w:w="0" w:type="dxa"/>
                <w:bottom w:w="0" w:type="dxa"/>
                <w:right w:w="180" w:type="dxa"/>
              </w:tcMar>
              <w:vAlign w:val="center"/>
              <w:hideMark/>
            </w:tcPr>
            <w:p w14:paraId="0DD6A71C" w14:textId="79F19BC7" w:rsidR="007C1297" w:rsidRPr="007C1297" w:rsidRDefault="007C1297" w:rsidP="007C1297">
              <w:pPr>
                <w:rPr>
                  <w:sz w:val="16"/>
                  <w:szCs w:val="16"/>
                </w:rPr>
              </w:pPr>
              <w:r w:rsidRPr="007C1297">
                <w:rPr>
                  <w:noProof/>
                  <w:sz w:val="16"/>
                  <w:szCs w:val="16"/>
                </w:rPr>
                <w:drawing>
                  <wp:inline distT="0" distB="0" distL="0" distR="0" wp14:anchorId="60C3548A" wp14:editId="677122B0">
                    <wp:extent cx="327804" cy="327804"/>
                    <wp:effectExtent l="0" t="0" r="0" b="0"/>
                    <wp:docPr id="284287959" name="Grafik 1" descr="Ein Bild, das Grafiken, Schrift, Kreis, Grafikdesign enthält.&#10;&#10;Automatisch generierte Beschreibu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4287959" name="Grafik 1" descr="Ein Bild, das Grafiken, Schrift, Kreis, Grafikdesign enthält.&#10;&#10;Automatisch generierte Beschreibu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3440" cy="333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60" w:type="dxa"/>
              <w:vMerge w:val="restart"/>
              <w:tcBorders>
                <w:top w:val="nil"/>
                <w:left w:val="nil"/>
                <w:bottom w:val="nil"/>
                <w:right w:val="single" w:sz="12" w:space="0" w:color="0B78BE"/>
              </w:tcBorders>
              <w:hideMark/>
            </w:tcPr>
            <w:p w14:paraId="7ED5A121" w14:textId="77777777" w:rsidR="007C1297" w:rsidRPr="007C1297" w:rsidRDefault="007C1297" w:rsidP="007C1297">
              <w:pPr>
                <w:rPr>
                  <w:sz w:val="16"/>
                  <w:szCs w:val="16"/>
                </w:rPr>
              </w:pPr>
            </w:p>
          </w:tc>
          <w:tc>
            <w:tcPr>
              <w:tcW w:w="0" w:type="auto"/>
              <w:tcMar>
                <w:top w:w="75" w:type="dxa"/>
                <w:left w:w="225" w:type="dxa"/>
                <w:bottom w:w="0" w:type="dxa"/>
                <w:right w:w="75" w:type="dxa"/>
              </w:tcMar>
              <w:hideMark/>
            </w:tcPr>
            <w:p w14:paraId="64936586" w14:textId="4AF7C22A" w:rsidR="007C1297" w:rsidRPr="0029597A" w:rsidRDefault="007C1297" w:rsidP="007C1297">
              <w:pPr>
                <w:spacing w:before="100" w:beforeAutospacing="1" w:after="100" w:afterAutospacing="1"/>
                <w:rPr>
                  <w:sz w:val="16"/>
                  <w:szCs w:val="16"/>
                </w:rPr>
              </w:pPr>
              <w:r w:rsidRPr="0029597A">
                <w:rPr>
                  <w:sz w:val="16"/>
                  <w:szCs w:val="16"/>
                </w:rPr>
                <w:t xml:space="preserve">Dr. Paul </w:t>
              </w:r>
              <w:r w:rsidR="0029597A" w:rsidRPr="0029597A">
                <w:rPr>
                  <w:sz w:val="16"/>
                  <w:szCs w:val="16"/>
                </w:rPr>
                <w:t>A.</w:t>
              </w:r>
              <w:r w:rsidRPr="0029597A">
                <w:rPr>
                  <w:sz w:val="16"/>
                  <w:szCs w:val="16"/>
                </w:rPr>
                <w:t xml:space="preserve"> Monderkamp, </w:t>
              </w:r>
              <w:r w:rsidRPr="0029597A">
                <w:rPr>
                  <w:color w:val="000000"/>
                  <w:sz w:val="16"/>
                  <w:szCs w:val="16"/>
                </w:rPr>
                <w:t xml:space="preserve">PPI AG | Moorfuhrtweg 13 | 22301 Hamburg, </w:t>
              </w:r>
              <w:r w:rsidRPr="0029597A">
                <w:rPr>
                  <w:color w:val="000000"/>
                  <w:sz w:val="16"/>
                  <w:szCs w:val="16"/>
                </w:rPr>
                <w:br/>
                <w:t xml:space="preserve">M +49 1517 217 37 69, </w:t>
              </w:r>
              <w:hyperlink r:id="rId2" w:history="1">
                <w:r w:rsidRPr="0029597A">
                  <w:rPr>
                    <w:rStyle w:val="Hyperlink"/>
                    <w:color w:val="0563C1"/>
                    <w:sz w:val="16"/>
                    <w:szCs w:val="16"/>
                  </w:rPr>
                  <w:t>paul.arne.monderkamp@ppi.de</w:t>
                </w:r>
              </w:hyperlink>
              <w:r w:rsidRPr="0029597A">
                <w:rPr>
                  <w:color w:val="000000"/>
                  <w:sz w:val="16"/>
                  <w:szCs w:val="16"/>
                </w:rPr>
                <w:t> | </w:t>
              </w:r>
              <w:hyperlink r:id="rId3" w:history="1">
                <w:r w:rsidRPr="0029597A">
                  <w:rPr>
                    <w:rStyle w:val="Hyperlink"/>
                    <w:color w:val="0B78BE"/>
                    <w:sz w:val="16"/>
                    <w:szCs w:val="16"/>
                  </w:rPr>
                  <w:t>www.ppi.de</w:t>
                </w:r>
              </w:hyperlink>
            </w:p>
          </w:tc>
        </w:tr>
        <w:tr w:rsidR="007C1297" w:rsidRPr="0029597A" w14:paraId="316818DC" w14:textId="77777777" w:rsidTr="007C1297">
          <w:trPr>
            <w:tblCellSpacing w:w="0" w:type="dxa"/>
          </w:trPr>
          <w:tc>
            <w:tcPr>
              <w:tcW w:w="0" w:type="auto"/>
              <w:vMerge/>
              <w:vAlign w:val="center"/>
              <w:hideMark/>
            </w:tcPr>
            <w:p w14:paraId="7FC76B30" w14:textId="77777777" w:rsidR="007C1297" w:rsidRPr="0029597A" w:rsidRDefault="007C1297" w:rsidP="007C1297">
              <w:pPr>
                <w:rPr>
                  <w:sz w:val="24"/>
                  <w:szCs w:val="24"/>
                </w:rPr>
              </w:pPr>
            </w:p>
          </w:tc>
          <w:tc>
            <w:tcPr>
              <w:tcW w:w="0" w:type="auto"/>
              <w:vMerge/>
              <w:tcBorders>
                <w:top w:val="nil"/>
                <w:left w:val="nil"/>
                <w:bottom w:val="nil"/>
                <w:right w:val="single" w:sz="12" w:space="0" w:color="0B78BE"/>
              </w:tcBorders>
              <w:vAlign w:val="center"/>
              <w:hideMark/>
            </w:tcPr>
            <w:p w14:paraId="2068192F" w14:textId="77777777" w:rsidR="007C1297" w:rsidRPr="0029597A" w:rsidRDefault="007C1297" w:rsidP="007C1297">
              <w:pPr>
                <w:rPr>
                  <w:sz w:val="20"/>
                  <w:szCs w:val="20"/>
                </w:rPr>
              </w:pPr>
            </w:p>
          </w:tc>
          <w:tc>
            <w:tcPr>
              <w:tcW w:w="0" w:type="auto"/>
              <w:tcMar>
                <w:top w:w="150" w:type="dxa"/>
                <w:left w:w="225" w:type="dxa"/>
                <w:bottom w:w="75" w:type="dxa"/>
                <w:right w:w="75" w:type="dxa"/>
              </w:tcMar>
              <w:hideMark/>
            </w:tcPr>
            <w:tbl>
              <w:tblPr>
                <w:tblW w:w="0" w:type="auto"/>
                <w:tblCellSpacing w:w="0" w:type="dxa"/>
                <w:tblCellMar>
                  <w:left w:w="0" w:type="dxa"/>
                  <w:right w:w="0" w:type="dxa"/>
                </w:tblCellMar>
                <w:tblLook w:val="04A0" w:firstRow="1" w:lastRow="0" w:firstColumn="1" w:lastColumn="0" w:noHBand="0" w:noVBand="1"/>
              </w:tblPr>
              <w:tblGrid>
                <w:gridCol w:w="231"/>
              </w:tblGrid>
              <w:tr w:rsidR="007C1297" w:rsidRPr="0029597A" w14:paraId="558CB90B" w14:textId="77777777">
                <w:trPr>
                  <w:tblCellSpacing w:w="0" w:type="dxa"/>
                </w:trPr>
                <w:tc>
                  <w:tcPr>
                    <w:tcW w:w="0" w:type="auto"/>
                    <w:tcMar>
                      <w:top w:w="0" w:type="dxa"/>
                      <w:left w:w="0" w:type="dxa"/>
                      <w:bottom w:w="0" w:type="dxa"/>
                      <w:right w:w="225" w:type="dxa"/>
                    </w:tcMar>
                    <w:vAlign w:val="center"/>
                    <w:hideMark/>
                  </w:tcPr>
                  <w:p w14:paraId="549AE695" w14:textId="77777777" w:rsidR="007C1297" w:rsidRPr="0029597A" w:rsidRDefault="007C1297" w:rsidP="007C1297"/>
                </w:tc>
              </w:tr>
            </w:tbl>
            <w:p w14:paraId="12A3CFD0" w14:textId="1A397334" w:rsidR="007C1297" w:rsidRPr="0029597A" w:rsidRDefault="007C1297" w:rsidP="007C1297">
              <w:pPr>
                <w:rPr>
                  <w:sz w:val="24"/>
                  <w:szCs w:val="24"/>
                </w:rPr>
              </w:pPr>
            </w:p>
          </w:tc>
        </w:tr>
      </w:tbl>
      <w:p w14:paraId="346239A1" w14:textId="26032D50" w:rsidR="00C42B7A" w:rsidRPr="00170C0D" w:rsidRDefault="007C1297" w:rsidP="00705E3A">
        <w:pPr>
          <w:rPr>
            <w:sz w:val="18"/>
            <w:szCs w:val="18"/>
            <w:lang w:val="de-DE"/>
          </w:rPr>
        </w:pPr>
        <w:r w:rsidRPr="0029597A">
          <w:rPr>
            <w:sz w:val="18"/>
            <w:szCs w:val="18"/>
          </w:rPr>
          <w:tab/>
        </w:r>
        <w:r w:rsidRPr="0029597A">
          <w:rPr>
            <w:sz w:val="18"/>
            <w:szCs w:val="18"/>
          </w:rPr>
          <w:tab/>
        </w:r>
        <w:r w:rsidRPr="0029597A">
          <w:rPr>
            <w:sz w:val="18"/>
            <w:szCs w:val="18"/>
          </w:rPr>
          <w:tab/>
        </w:r>
        <w:r w:rsidRPr="0029597A">
          <w:rPr>
            <w:sz w:val="18"/>
            <w:szCs w:val="18"/>
          </w:rPr>
          <w:tab/>
        </w:r>
        <w:r w:rsidRPr="0029597A">
          <w:rPr>
            <w:sz w:val="18"/>
            <w:szCs w:val="18"/>
          </w:rPr>
          <w:tab/>
        </w:r>
        <w:r w:rsidRPr="0029597A">
          <w:rPr>
            <w:sz w:val="18"/>
            <w:szCs w:val="18"/>
          </w:rPr>
          <w:tab/>
        </w:r>
        <w:r w:rsidRPr="0029597A">
          <w:rPr>
            <w:sz w:val="18"/>
            <w:szCs w:val="18"/>
          </w:rPr>
          <w:tab/>
        </w:r>
        <w:r w:rsidRPr="0029597A">
          <w:rPr>
            <w:sz w:val="18"/>
            <w:szCs w:val="18"/>
          </w:rPr>
          <w:tab/>
        </w:r>
        <w:r w:rsidR="00705E3A" w:rsidRPr="0029597A">
          <w:tab/>
        </w:r>
        <w:r w:rsidR="00705E3A" w:rsidRPr="0029597A">
          <w:tab/>
        </w:r>
        <w:r w:rsidRPr="0029597A">
          <w:tab/>
        </w:r>
        <w:r w:rsidR="00705E3A" w:rsidRPr="0029597A">
          <w:tab/>
        </w:r>
        <w:r w:rsidR="00C42B7A">
          <w:fldChar w:fldCharType="begin"/>
        </w:r>
        <w:r w:rsidR="00C42B7A" w:rsidRPr="00170C0D">
          <w:rPr>
            <w:lang w:val="de-DE"/>
          </w:rPr>
          <w:instrText>PAGE   \* MERGEFORMAT</w:instrText>
        </w:r>
        <w:r w:rsidR="00C42B7A">
          <w:fldChar w:fldCharType="separate"/>
        </w:r>
        <w:r w:rsidR="00C42B7A" w:rsidRPr="00170C0D">
          <w:rPr>
            <w:lang w:val="de-DE"/>
          </w:rPr>
          <w:t>2</w:t>
        </w:r>
        <w:r w:rsidR="00C42B7A">
          <w:fldChar w:fldCharType="end"/>
        </w:r>
      </w:p>
    </w:sdtContent>
  </w:sdt>
  <w:p w14:paraId="3749AA28" w14:textId="77777777" w:rsidR="00C42B7A" w:rsidRPr="00170C0D" w:rsidRDefault="00C42B7A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1CC9D" w14:textId="77777777" w:rsidR="0039262D" w:rsidRDefault="0039262D" w:rsidP="00C42B7A">
      <w:pPr>
        <w:spacing w:after="0" w:line="240" w:lineRule="auto"/>
      </w:pPr>
      <w:r>
        <w:separator/>
      </w:r>
    </w:p>
  </w:footnote>
  <w:footnote w:type="continuationSeparator" w:id="0">
    <w:p w14:paraId="7A235A49" w14:textId="77777777" w:rsidR="0039262D" w:rsidRDefault="0039262D" w:rsidP="00C42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18361" w14:textId="72485332" w:rsidR="00C42B7A" w:rsidRPr="007049B1" w:rsidRDefault="009838C9" w:rsidP="00347268">
    <w:pPr>
      <w:rPr>
        <w:sz w:val="18"/>
        <w:szCs w:val="18"/>
      </w:rPr>
    </w:pPr>
    <w:r w:rsidRPr="00705E3A">
      <w:rPr>
        <w:sz w:val="18"/>
        <w:szCs w:val="18"/>
      </w:rPr>
      <w:t>Workshop: Optionen, Black-Scholes-Modell und Monte-Carlo Simulation</w:t>
    </w:r>
    <w:r w:rsidR="007049B1">
      <w:rPr>
        <w:sz w:val="18"/>
        <w:szCs w:val="18"/>
      </w:rPr>
      <w:t xml:space="preserve"> – </w:t>
    </w:r>
    <w:r w:rsidR="007049B1" w:rsidRPr="007049B1">
      <w:rPr>
        <w:sz w:val="18"/>
        <w:szCs w:val="18"/>
      </w:rPr>
      <w:t xml:space="preserve">Sonntag, 6. </w:t>
    </w:r>
    <w:r w:rsidR="007049B1">
      <w:rPr>
        <w:sz w:val="18"/>
        <w:szCs w:val="18"/>
        <w:lang w:val="de-DE"/>
      </w:rPr>
      <w:t>August 2023</w:t>
    </w:r>
    <w:r w:rsidR="00C42B7A" w:rsidRPr="00804F0C">
      <w:br/>
    </w:r>
  </w:p>
  <w:p w14:paraId="6D1A2802" w14:textId="77777777" w:rsidR="00C42B7A" w:rsidRDefault="00C42B7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22B6"/>
    <w:multiLevelType w:val="hybridMultilevel"/>
    <w:tmpl w:val="A2C60664"/>
    <w:lvl w:ilvl="0" w:tplc="2F5EAB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26FB"/>
    <w:multiLevelType w:val="hybridMultilevel"/>
    <w:tmpl w:val="589827C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E2E61"/>
    <w:multiLevelType w:val="hybridMultilevel"/>
    <w:tmpl w:val="E34EE8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20448"/>
    <w:multiLevelType w:val="hybridMultilevel"/>
    <w:tmpl w:val="10107E78"/>
    <w:lvl w:ilvl="0" w:tplc="04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D50736"/>
    <w:multiLevelType w:val="hybridMultilevel"/>
    <w:tmpl w:val="324E6A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B45A2"/>
    <w:multiLevelType w:val="hybridMultilevel"/>
    <w:tmpl w:val="15BC5628"/>
    <w:lvl w:ilvl="0" w:tplc="0866B64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2441F"/>
    <w:multiLevelType w:val="hybridMultilevel"/>
    <w:tmpl w:val="10107E7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2794834">
    <w:abstractNumId w:val="0"/>
  </w:num>
  <w:num w:numId="2" w16cid:durableId="1208833433">
    <w:abstractNumId w:val="1"/>
  </w:num>
  <w:num w:numId="3" w16cid:durableId="1594433879">
    <w:abstractNumId w:val="4"/>
  </w:num>
  <w:num w:numId="4" w16cid:durableId="1928491002">
    <w:abstractNumId w:val="3"/>
  </w:num>
  <w:num w:numId="5" w16cid:durableId="862327932">
    <w:abstractNumId w:val="2"/>
  </w:num>
  <w:num w:numId="6" w16cid:durableId="758793847">
    <w:abstractNumId w:val="5"/>
  </w:num>
  <w:num w:numId="7" w16cid:durableId="692537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F0C"/>
    <w:rsid w:val="00003054"/>
    <w:rsid w:val="00023061"/>
    <w:rsid w:val="00030A7B"/>
    <w:rsid w:val="00052779"/>
    <w:rsid w:val="000539EB"/>
    <w:rsid w:val="00055B14"/>
    <w:rsid w:val="00067874"/>
    <w:rsid w:val="00075F2C"/>
    <w:rsid w:val="00086F18"/>
    <w:rsid w:val="00090067"/>
    <w:rsid w:val="00090BFF"/>
    <w:rsid w:val="00091101"/>
    <w:rsid w:val="000B170B"/>
    <w:rsid w:val="000B186D"/>
    <w:rsid w:val="000B75CA"/>
    <w:rsid w:val="000C7A03"/>
    <w:rsid w:val="000E2B7A"/>
    <w:rsid w:val="000E3F53"/>
    <w:rsid w:val="000E58B5"/>
    <w:rsid w:val="000F2582"/>
    <w:rsid w:val="00123304"/>
    <w:rsid w:val="0016218C"/>
    <w:rsid w:val="00170C0D"/>
    <w:rsid w:val="00170C85"/>
    <w:rsid w:val="00171F49"/>
    <w:rsid w:val="00183C7E"/>
    <w:rsid w:val="001A4B1D"/>
    <w:rsid w:val="001C36C0"/>
    <w:rsid w:val="001E4A29"/>
    <w:rsid w:val="001F2FC4"/>
    <w:rsid w:val="001F62C1"/>
    <w:rsid w:val="002112B4"/>
    <w:rsid w:val="00212B7C"/>
    <w:rsid w:val="00234270"/>
    <w:rsid w:val="00242D2B"/>
    <w:rsid w:val="0025239E"/>
    <w:rsid w:val="00252586"/>
    <w:rsid w:val="00254F4A"/>
    <w:rsid w:val="00270869"/>
    <w:rsid w:val="00277A4C"/>
    <w:rsid w:val="00291CCC"/>
    <w:rsid w:val="0029597A"/>
    <w:rsid w:val="00297E0F"/>
    <w:rsid w:val="002A3117"/>
    <w:rsid w:val="002C436F"/>
    <w:rsid w:val="002C7C86"/>
    <w:rsid w:val="002D23CB"/>
    <w:rsid w:val="002E1FC9"/>
    <w:rsid w:val="00320E6E"/>
    <w:rsid w:val="00322F17"/>
    <w:rsid w:val="00347268"/>
    <w:rsid w:val="003544A9"/>
    <w:rsid w:val="0037149D"/>
    <w:rsid w:val="00382314"/>
    <w:rsid w:val="00392302"/>
    <w:rsid w:val="0039262D"/>
    <w:rsid w:val="003941B8"/>
    <w:rsid w:val="00394F9F"/>
    <w:rsid w:val="003C3439"/>
    <w:rsid w:val="003D1919"/>
    <w:rsid w:val="003D2632"/>
    <w:rsid w:val="004063AD"/>
    <w:rsid w:val="0041145A"/>
    <w:rsid w:val="00447D66"/>
    <w:rsid w:val="0047606B"/>
    <w:rsid w:val="004846AB"/>
    <w:rsid w:val="00497A2B"/>
    <w:rsid w:val="00497F6D"/>
    <w:rsid w:val="004B00B6"/>
    <w:rsid w:val="004E19CC"/>
    <w:rsid w:val="004F638B"/>
    <w:rsid w:val="00500C29"/>
    <w:rsid w:val="00502B3A"/>
    <w:rsid w:val="00521F56"/>
    <w:rsid w:val="005507E1"/>
    <w:rsid w:val="005640DA"/>
    <w:rsid w:val="0058404A"/>
    <w:rsid w:val="00594015"/>
    <w:rsid w:val="005A0520"/>
    <w:rsid w:val="005A0CAD"/>
    <w:rsid w:val="005C73B6"/>
    <w:rsid w:val="005C7649"/>
    <w:rsid w:val="005C7B03"/>
    <w:rsid w:val="00600083"/>
    <w:rsid w:val="006106B6"/>
    <w:rsid w:val="006145E6"/>
    <w:rsid w:val="00652BB2"/>
    <w:rsid w:val="0066493C"/>
    <w:rsid w:val="00673DE2"/>
    <w:rsid w:val="00680AFF"/>
    <w:rsid w:val="00680EAF"/>
    <w:rsid w:val="0069027B"/>
    <w:rsid w:val="00696A92"/>
    <w:rsid w:val="006A23CF"/>
    <w:rsid w:val="006D1A47"/>
    <w:rsid w:val="006F0983"/>
    <w:rsid w:val="00701268"/>
    <w:rsid w:val="00702C2C"/>
    <w:rsid w:val="007049B1"/>
    <w:rsid w:val="00705E3A"/>
    <w:rsid w:val="0071424B"/>
    <w:rsid w:val="00724D85"/>
    <w:rsid w:val="00743E6F"/>
    <w:rsid w:val="00744676"/>
    <w:rsid w:val="00780EF0"/>
    <w:rsid w:val="007A6C26"/>
    <w:rsid w:val="007B7CE8"/>
    <w:rsid w:val="007C1297"/>
    <w:rsid w:val="007E4E0D"/>
    <w:rsid w:val="0080027E"/>
    <w:rsid w:val="00804F0C"/>
    <w:rsid w:val="00832AAE"/>
    <w:rsid w:val="00834028"/>
    <w:rsid w:val="00852D0D"/>
    <w:rsid w:val="008762DE"/>
    <w:rsid w:val="00894338"/>
    <w:rsid w:val="008A3E8D"/>
    <w:rsid w:val="008B03A1"/>
    <w:rsid w:val="008B1B83"/>
    <w:rsid w:val="008B4CC5"/>
    <w:rsid w:val="008B7CFB"/>
    <w:rsid w:val="008C3048"/>
    <w:rsid w:val="008C609B"/>
    <w:rsid w:val="008E521D"/>
    <w:rsid w:val="008E7C58"/>
    <w:rsid w:val="0095584B"/>
    <w:rsid w:val="00962D00"/>
    <w:rsid w:val="00974ED0"/>
    <w:rsid w:val="00977B8B"/>
    <w:rsid w:val="009838C9"/>
    <w:rsid w:val="009E700E"/>
    <w:rsid w:val="009F55E1"/>
    <w:rsid w:val="00A21C72"/>
    <w:rsid w:val="00A249B5"/>
    <w:rsid w:val="00A32E40"/>
    <w:rsid w:val="00A3417F"/>
    <w:rsid w:val="00A70D28"/>
    <w:rsid w:val="00AA54CA"/>
    <w:rsid w:val="00AB2AEC"/>
    <w:rsid w:val="00AB3A1C"/>
    <w:rsid w:val="00AC3DD2"/>
    <w:rsid w:val="00AC4CD2"/>
    <w:rsid w:val="00AC6620"/>
    <w:rsid w:val="00AF28DB"/>
    <w:rsid w:val="00B10ED8"/>
    <w:rsid w:val="00B73EFF"/>
    <w:rsid w:val="00BC1D2D"/>
    <w:rsid w:val="00BD02C1"/>
    <w:rsid w:val="00BD7CE0"/>
    <w:rsid w:val="00BE0DA5"/>
    <w:rsid w:val="00BE7F9F"/>
    <w:rsid w:val="00C17E04"/>
    <w:rsid w:val="00C34B3B"/>
    <w:rsid w:val="00C42B7A"/>
    <w:rsid w:val="00C46548"/>
    <w:rsid w:val="00C54881"/>
    <w:rsid w:val="00C61E3F"/>
    <w:rsid w:val="00C63992"/>
    <w:rsid w:val="00C66AA6"/>
    <w:rsid w:val="00C74435"/>
    <w:rsid w:val="00C862EE"/>
    <w:rsid w:val="00CB5609"/>
    <w:rsid w:val="00CC12DB"/>
    <w:rsid w:val="00CD193A"/>
    <w:rsid w:val="00CD7707"/>
    <w:rsid w:val="00CF21AD"/>
    <w:rsid w:val="00D1462D"/>
    <w:rsid w:val="00D15FC5"/>
    <w:rsid w:val="00D24695"/>
    <w:rsid w:val="00D319D6"/>
    <w:rsid w:val="00D514D2"/>
    <w:rsid w:val="00D905B6"/>
    <w:rsid w:val="00D91EEF"/>
    <w:rsid w:val="00DA46C8"/>
    <w:rsid w:val="00DC0FCB"/>
    <w:rsid w:val="00DD2FB8"/>
    <w:rsid w:val="00DD6D16"/>
    <w:rsid w:val="00DE3602"/>
    <w:rsid w:val="00E14C9D"/>
    <w:rsid w:val="00E246C0"/>
    <w:rsid w:val="00E46099"/>
    <w:rsid w:val="00E82740"/>
    <w:rsid w:val="00E95A1A"/>
    <w:rsid w:val="00E95A2B"/>
    <w:rsid w:val="00EB71B4"/>
    <w:rsid w:val="00EC20F6"/>
    <w:rsid w:val="00EC383F"/>
    <w:rsid w:val="00EC63AF"/>
    <w:rsid w:val="00EE3214"/>
    <w:rsid w:val="00F104F9"/>
    <w:rsid w:val="00F14782"/>
    <w:rsid w:val="00F17516"/>
    <w:rsid w:val="00F34BDA"/>
    <w:rsid w:val="00F75373"/>
    <w:rsid w:val="00F80374"/>
    <w:rsid w:val="00F83E7D"/>
    <w:rsid w:val="00FF1F60"/>
    <w:rsid w:val="00FF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2D31D1"/>
  <w15:docId w15:val="{E62EFD29-D9FE-45A7-B0CC-849D56C9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4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4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54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A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04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4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4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C42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2B7A"/>
  </w:style>
  <w:style w:type="paragraph" w:styleId="Fuzeile">
    <w:name w:val="footer"/>
    <w:basedOn w:val="Standard"/>
    <w:link w:val="FuzeileZchn"/>
    <w:uiPriority w:val="99"/>
    <w:unhideWhenUsed/>
    <w:rsid w:val="00C42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2B7A"/>
  </w:style>
  <w:style w:type="character" w:styleId="Hyperlink">
    <w:name w:val="Hyperlink"/>
    <w:basedOn w:val="Absatz-Standardschriftart"/>
    <w:uiPriority w:val="99"/>
    <w:unhideWhenUsed/>
    <w:rsid w:val="00705E3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5E3A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4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2D23CB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5584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58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5584B"/>
    <w:rPr>
      <w:vertAlign w:val="superscript"/>
    </w:rPr>
  </w:style>
  <w:style w:type="table" w:styleId="Tabellenraster">
    <w:name w:val="Table Grid"/>
    <w:basedOn w:val="NormaleTabelle"/>
    <w:uiPriority w:val="39"/>
    <w:rsid w:val="0021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3544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030A7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A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5C7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6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pi.de/" TargetMode="External"/><Relationship Id="rId2" Type="http://schemas.openxmlformats.org/officeDocument/2006/relationships/hyperlink" Target="mailto:paul.arne.monderkamp@ppi.de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975FB-1B6B-4256-BCEE-CC07E2E6C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1078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Monderkamp</dc:creator>
  <cp:keywords/>
  <dc:description/>
  <cp:lastModifiedBy>Paul Monderkamp</cp:lastModifiedBy>
  <cp:revision>16</cp:revision>
  <cp:lastPrinted>2023-08-06T18:04:00Z</cp:lastPrinted>
  <dcterms:created xsi:type="dcterms:W3CDTF">2023-08-06T13:02:00Z</dcterms:created>
  <dcterms:modified xsi:type="dcterms:W3CDTF">2023-08-08T14:02:00Z</dcterms:modified>
</cp:coreProperties>
</file>