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75B7D" w14:textId="77777777" w:rsidR="00784C54" w:rsidRPr="00717133" w:rsidRDefault="00784C54" w:rsidP="00784C54">
      <w:pPr>
        <w:shd w:val="clear" w:color="auto" w:fill="FFFFFF"/>
        <w:spacing w:line="240" w:lineRule="auto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sz w:val="24"/>
          <w:szCs w:val="24"/>
          <w:lang w:eastAsia="es-AR"/>
        </w:rPr>
        <w:t>El procedimiento de Gestión de Incidentes según ITIL consiste en identificar, registrar, categorizar, priorizar, diagnosticar, escalar (si es necesario), resolver, y finalmente, cerrar un incidente de TI para restaurar el servicio lo antes posible. Se trata de un ciclo de vida estructurado que busca minimizar la interrupción del negocio y mejorar la satisfacción del usuario al seguir pasos claros desde el reporte hasta la verificación de la solución. </w:t>
      </w:r>
    </w:p>
    <w:p w14:paraId="5BBDB269" w14:textId="77777777" w:rsidR="00784C54" w:rsidRPr="00717133" w:rsidRDefault="00784C54" w:rsidP="00784C54">
      <w:pPr>
        <w:shd w:val="clear" w:color="auto" w:fill="FFFFFF"/>
        <w:spacing w:after="150" w:line="390" w:lineRule="atLeast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sz w:val="24"/>
          <w:szCs w:val="24"/>
          <w:lang w:eastAsia="es-AR"/>
        </w:rPr>
        <w:t>Pasos del Proceso de Gestión de Incidentes ITIL</w:t>
      </w:r>
    </w:p>
    <w:p w14:paraId="1772447B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1. Identificación y Registro:</w:t>
      </w:r>
    </w:p>
    <w:p w14:paraId="15B9F076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detecta un incidente y se registra formalmente en un sistema (ticket) con información como la descripción del problema, datos del usuario y fecha/hora. </w:t>
      </w:r>
    </w:p>
    <w:p w14:paraId="194AA72D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2. Categorización:</w:t>
      </w:r>
    </w:p>
    <w:p w14:paraId="5FFC27B0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asigna al incidente un tipo o categoría para facilitar su clasificación y el tratamiento. </w:t>
      </w:r>
    </w:p>
    <w:p w14:paraId="678B6992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3. Priorización:</w:t>
      </w:r>
    </w:p>
    <w:p w14:paraId="6A5DEFB0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evalúa el impacto y la urgencia del incidente para determinar la prioridad de la resolución, asegurando que los incidentes más críticos se atiendan primero. </w:t>
      </w:r>
    </w:p>
    <w:p w14:paraId="30C11120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4. Diagnóstico Inicial:</w:t>
      </w:r>
    </w:p>
    <w:p w14:paraId="79BAB876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realiza un análisis para determinar la causa del incidente y si el equipo de soporte de primera línea puede resolverlo. </w:t>
      </w:r>
    </w:p>
    <w:p w14:paraId="0B437DC8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5. Escalamiento:</w:t>
      </w:r>
    </w:p>
    <w:p w14:paraId="373D1F53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Si el incidente no puede ser resuelto en el primer punto de contacto, se transfiere a un equipo o nivel de soporte superior con mayores conocimientos o recursos para su resolución. </w:t>
      </w:r>
    </w:p>
    <w:p w14:paraId="3EE7796F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6. Investigación y Diagnóstico Detallado:</w:t>
      </w:r>
    </w:p>
    <w:p w14:paraId="512A7FB3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profundiza la investigación para identificar la causa raíz y encontrar una solución. </w:t>
      </w:r>
    </w:p>
    <w:p w14:paraId="6671D0D7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7. Resolución y Restablecimiento del Servicio:</w:t>
      </w:r>
    </w:p>
    <w:p w14:paraId="3765A7A4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implementa la solución encontrada, se verifica que el servicio se haya restaurado a su funcionamiento normal y se notifica al usuario. </w:t>
      </w:r>
    </w:p>
    <w:p w14:paraId="51DD08C2" w14:textId="77777777" w:rsidR="00784C54" w:rsidRPr="00717133" w:rsidRDefault="00784C54" w:rsidP="00784C54">
      <w:pPr>
        <w:numPr>
          <w:ilvl w:val="0"/>
          <w:numId w:val="1"/>
        </w:numPr>
        <w:shd w:val="clear" w:color="auto" w:fill="FFFFFF"/>
        <w:spacing w:after="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8. Cierre del Incidente:</w:t>
      </w:r>
    </w:p>
    <w:p w14:paraId="27A5CD93" w14:textId="77777777" w:rsidR="00784C54" w:rsidRPr="00717133" w:rsidRDefault="00784C54" w:rsidP="00784C54">
      <w:pPr>
        <w:shd w:val="clear" w:color="auto" w:fill="FFFFFF"/>
        <w:spacing w:after="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documenta la solución y se cierra formalmente el ticket una vez que el usuario confirma que las operaciones han vuelto a la normalidad. </w:t>
      </w:r>
    </w:p>
    <w:p w14:paraId="1ECC44BD" w14:textId="77777777" w:rsidR="00784C54" w:rsidRPr="00717133" w:rsidRDefault="00784C54" w:rsidP="00784C54">
      <w:pPr>
        <w:shd w:val="clear" w:color="auto" w:fill="FFFFFF"/>
        <w:spacing w:after="150" w:line="390" w:lineRule="atLeast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sz w:val="24"/>
          <w:szCs w:val="24"/>
          <w:lang w:eastAsia="es-AR"/>
        </w:rPr>
        <w:t>Objetivo Principal</w:t>
      </w:r>
    </w:p>
    <w:p w14:paraId="4C3876EF" w14:textId="181CC67F" w:rsidR="000F7E38" w:rsidRPr="00717133" w:rsidRDefault="00784C54" w:rsidP="00717133">
      <w:pPr>
        <w:shd w:val="clear" w:color="auto" w:fill="FFFFFF"/>
        <w:spacing w:line="240" w:lineRule="auto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sz w:val="24"/>
          <w:szCs w:val="24"/>
          <w:lang w:eastAsia="es-AR"/>
        </w:rPr>
        <w:t>El objetivo de este proceso es lograr la recuperación más rápida posible del servicio y minimizar el impacto negativo en las operaciones y la productividad del negocio. </w:t>
      </w:r>
    </w:p>
    <w:p w14:paraId="2D37849E" w14:textId="77777777" w:rsidR="00784C54" w:rsidRPr="00717133" w:rsidRDefault="00784C54">
      <w:pPr>
        <w:rPr>
          <w:rFonts w:cstheme="minorHAnsi"/>
          <w:sz w:val="24"/>
          <w:szCs w:val="24"/>
        </w:rPr>
      </w:pPr>
    </w:p>
    <w:p w14:paraId="45E77A6A" w14:textId="77777777" w:rsidR="00784C54" w:rsidRPr="00717133" w:rsidRDefault="00784C54" w:rsidP="00784C54">
      <w:pPr>
        <w:shd w:val="clear" w:color="auto" w:fill="FFFFFF"/>
        <w:spacing w:after="150" w:line="390" w:lineRule="atLeast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sz w:val="24"/>
          <w:szCs w:val="24"/>
          <w:lang w:eastAsia="es-AR"/>
        </w:rPr>
        <w:t>Etapas del procedimiento de gestión de eventos ITIL:</w:t>
      </w:r>
    </w:p>
    <w:p w14:paraId="5C500641" w14:textId="77777777" w:rsidR="00784C54" w:rsidRPr="00717133" w:rsidRDefault="00784C54" w:rsidP="00784C54">
      <w:pPr>
        <w:numPr>
          <w:ilvl w:val="0"/>
          <w:numId w:val="2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1. Detección y filtrado de eventos:</w:t>
      </w:r>
    </w:p>
    <w:p w14:paraId="050CCBFA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utilizan herramientas de monitoreo para detectar eventos generados por la infraestructura de TI. </w:t>
      </w:r>
    </w:p>
    <w:p w14:paraId="56F9D98F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filtra la información para concentrarse solo en los eventos que son relevantes, descartando el "ruido" de eventos informativos que no requieren acción inmediata. </w:t>
      </w:r>
    </w:p>
    <w:p w14:paraId="4A1C3570" w14:textId="77777777" w:rsidR="00784C54" w:rsidRPr="00717133" w:rsidRDefault="00784C54" w:rsidP="00784C54">
      <w:pPr>
        <w:numPr>
          <w:ilvl w:val="0"/>
          <w:numId w:val="3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2. Correlación y análisis de eventos:</w:t>
      </w:r>
    </w:p>
    <w:p w14:paraId="373AF882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Los eventos detectados se analizan y se agrupan para identificar patrones, causas raíz y el impacto en el negocio. </w:t>
      </w:r>
    </w:p>
    <w:p w14:paraId="6C5C5F80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crea un vínculo entre eventos e incidentes para una mejor evaluación del problema. </w:t>
      </w:r>
    </w:p>
    <w:p w14:paraId="2EC8AE42" w14:textId="77777777" w:rsidR="00784C54" w:rsidRPr="00717133" w:rsidRDefault="00784C54" w:rsidP="00784C54">
      <w:pPr>
        <w:numPr>
          <w:ilvl w:val="0"/>
          <w:numId w:val="3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3. Notificación y registro de eventos:</w:t>
      </w:r>
    </w:p>
    <w:p w14:paraId="63D1DE16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notifica a las partes interesadas apropiadas sobre los eventos significativos. </w:t>
      </w:r>
    </w:p>
    <w:p w14:paraId="0541D01B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registran todos los eventos, incluyendo su clasificación y detalles, para su consulta y análisis futuro. </w:t>
      </w:r>
    </w:p>
    <w:p w14:paraId="48D954AE" w14:textId="77777777" w:rsidR="00784C54" w:rsidRPr="00717133" w:rsidRDefault="00784C54" w:rsidP="00784C54">
      <w:pPr>
        <w:numPr>
          <w:ilvl w:val="0"/>
          <w:numId w:val="3"/>
        </w:numPr>
        <w:shd w:val="clear" w:color="auto" w:fill="FFFFFF"/>
        <w:spacing w:after="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4. Respuesta y cierre de eventos:</w:t>
      </w:r>
    </w:p>
    <w:p w14:paraId="54926BE1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Se toman las acciones necesarias para abordar los eventos detectados y resueltos. </w:t>
      </w:r>
    </w:p>
    <w:p w14:paraId="10417A52" w14:textId="77777777" w:rsidR="00784C54" w:rsidRPr="00717133" w:rsidRDefault="00784C54" w:rsidP="00784C54">
      <w:pPr>
        <w:numPr>
          <w:ilvl w:val="1"/>
          <w:numId w:val="3"/>
        </w:numPr>
        <w:shd w:val="clear" w:color="auto" w:fill="FFFFFF"/>
        <w:spacing w:after="0" w:line="330" w:lineRule="atLeast"/>
        <w:ind w:left="0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Los eventos se cierran una vez que se ha tomado la acción pertinente, documentando la resolución y los resultados obtenidos. </w:t>
      </w:r>
    </w:p>
    <w:p w14:paraId="3AFE5EA0" w14:textId="77777777" w:rsidR="00784C54" w:rsidRPr="00717133" w:rsidRDefault="00784C54" w:rsidP="00784C54">
      <w:pPr>
        <w:shd w:val="clear" w:color="auto" w:fill="FFFFFF"/>
        <w:spacing w:after="150" w:line="390" w:lineRule="atLeast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sz w:val="24"/>
          <w:szCs w:val="24"/>
          <w:lang w:eastAsia="es-AR"/>
        </w:rPr>
        <w:t>Tipos de eventos según ITIL:</w:t>
      </w:r>
    </w:p>
    <w:p w14:paraId="4B80FADD" w14:textId="77777777" w:rsidR="00784C54" w:rsidRPr="00717133" w:rsidRDefault="00784C54" w:rsidP="00784C54">
      <w:pPr>
        <w:shd w:val="clear" w:color="auto" w:fill="FFFFFF"/>
        <w:spacing w:after="150" w:line="390" w:lineRule="atLeast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sz w:val="24"/>
          <w:szCs w:val="24"/>
          <w:lang w:eastAsia="es-AR"/>
        </w:rPr>
        <w:t>El marco ITIL clasifica los eventos en tres tipos principales: </w:t>
      </w:r>
    </w:p>
    <w:p w14:paraId="2E24C8DA" w14:textId="77777777" w:rsidR="00784C54" w:rsidRPr="00717133" w:rsidRDefault="00784C54" w:rsidP="00784C54">
      <w:pPr>
        <w:numPr>
          <w:ilvl w:val="0"/>
          <w:numId w:val="4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Eventos Informativos:</w:t>
      </w:r>
    </w:p>
    <w:p w14:paraId="543A217F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Eventos que proporcionan un estado normal o confirman una tarea, sin requerir acción.</w:t>
      </w:r>
    </w:p>
    <w:p w14:paraId="5523D7DB" w14:textId="77777777" w:rsidR="00784C54" w:rsidRPr="00717133" w:rsidRDefault="00784C54" w:rsidP="00784C54">
      <w:pPr>
        <w:numPr>
          <w:ilvl w:val="0"/>
          <w:numId w:val="4"/>
        </w:numPr>
        <w:shd w:val="clear" w:color="auto" w:fill="FFFFFF"/>
        <w:spacing w:after="12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Eventos de Advertencia:</w:t>
      </w:r>
    </w:p>
    <w:p w14:paraId="5B1CDAC7" w14:textId="77777777" w:rsidR="00784C54" w:rsidRPr="00717133" w:rsidRDefault="00784C54" w:rsidP="00784C54">
      <w:pPr>
        <w:shd w:val="clear" w:color="auto" w:fill="FFFFFF"/>
        <w:spacing w:after="12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Indican una operación inusual que no es excepcional, requiriendo que un equipo o herramienta tome medidas antes de que ocurra un impacto negativo.</w:t>
      </w:r>
    </w:p>
    <w:p w14:paraId="7D01E58C" w14:textId="77777777" w:rsidR="00784C54" w:rsidRPr="00717133" w:rsidRDefault="00784C54" w:rsidP="00784C54">
      <w:pPr>
        <w:numPr>
          <w:ilvl w:val="0"/>
          <w:numId w:val="4"/>
        </w:numPr>
        <w:shd w:val="clear" w:color="auto" w:fill="FFFFFF"/>
        <w:spacing w:after="0" w:line="330" w:lineRule="atLeast"/>
        <w:ind w:left="0"/>
        <w:rPr>
          <w:rFonts w:eastAsia="Times New Roman" w:cstheme="minorHAnsi"/>
          <w:sz w:val="24"/>
          <w:szCs w:val="24"/>
          <w:lang w:eastAsia="es-AR"/>
        </w:rPr>
      </w:pPr>
      <w:r w:rsidRPr="00717133">
        <w:rPr>
          <w:rFonts w:eastAsia="Times New Roman" w:cstheme="minorHAnsi"/>
          <w:b/>
          <w:bCs/>
          <w:sz w:val="24"/>
          <w:szCs w:val="24"/>
          <w:lang w:eastAsia="es-AR"/>
        </w:rPr>
        <w:t>Eventos de Excepción:</w:t>
      </w:r>
    </w:p>
    <w:p w14:paraId="4CD02338" w14:textId="77777777" w:rsidR="00784C54" w:rsidRPr="00717133" w:rsidRDefault="00784C54" w:rsidP="00784C54">
      <w:pPr>
        <w:shd w:val="clear" w:color="auto" w:fill="FFFFFF"/>
        <w:spacing w:after="0" w:line="330" w:lineRule="atLeast"/>
        <w:rPr>
          <w:rFonts w:eastAsia="Times New Roman" w:cstheme="minorHAnsi"/>
          <w:spacing w:val="2"/>
          <w:sz w:val="24"/>
          <w:szCs w:val="24"/>
          <w:lang w:eastAsia="es-AR"/>
        </w:rPr>
      </w:pPr>
      <w:r w:rsidRPr="00717133">
        <w:rPr>
          <w:rFonts w:eastAsia="Times New Roman" w:cstheme="minorHAnsi"/>
          <w:spacing w:val="2"/>
          <w:sz w:val="24"/>
          <w:szCs w:val="24"/>
          <w:lang w:eastAsia="es-AR"/>
        </w:rPr>
        <w:t>Indican un umbral crítico alcanzado, un servicio que falla o una degradación del rendimiento que afecta las operaciones comerciales.</w:t>
      </w:r>
    </w:p>
    <w:sectPr w:rsidR="00784C54" w:rsidRPr="007171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F76E9"/>
    <w:multiLevelType w:val="multilevel"/>
    <w:tmpl w:val="3D84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71C8"/>
    <w:multiLevelType w:val="multilevel"/>
    <w:tmpl w:val="C2167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56B99"/>
    <w:multiLevelType w:val="multilevel"/>
    <w:tmpl w:val="35E2A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9532BF"/>
    <w:multiLevelType w:val="multilevel"/>
    <w:tmpl w:val="F5E86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397E76"/>
    <w:multiLevelType w:val="multilevel"/>
    <w:tmpl w:val="AFC0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443647">
    <w:abstractNumId w:val="3"/>
  </w:num>
  <w:num w:numId="2" w16cid:durableId="1238663014">
    <w:abstractNumId w:val="2"/>
  </w:num>
  <w:num w:numId="3" w16cid:durableId="98350821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755589108">
    <w:abstractNumId w:val="0"/>
  </w:num>
  <w:num w:numId="5" w16cid:durableId="363675910">
    <w:abstractNumId w:val="1"/>
  </w:num>
  <w:num w:numId="6" w16cid:durableId="345520944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917779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4C54"/>
    <w:rsid w:val="000F7E38"/>
    <w:rsid w:val="004733B8"/>
    <w:rsid w:val="00717133"/>
    <w:rsid w:val="00784C54"/>
    <w:rsid w:val="00BE4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0BA46"/>
  <w15:chartTrackingRefBased/>
  <w15:docId w15:val="{DF1B647B-B4F9-4389-BC92-80F0EA41D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uv3um">
    <w:name w:val="uv3um"/>
    <w:basedOn w:val="Fuentedeprrafopredeter"/>
    <w:rsid w:val="00784C54"/>
  </w:style>
  <w:style w:type="character" w:styleId="Textoennegrita">
    <w:name w:val="Strong"/>
    <w:basedOn w:val="Fuentedeprrafopredeter"/>
    <w:uiPriority w:val="22"/>
    <w:qFormat/>
    <w:rsid w:val="00784C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1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99939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33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2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8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2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594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76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13951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32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55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015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4276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12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6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265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51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079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147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65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53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598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602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35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98800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294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7280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63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16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9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26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97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1684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9401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17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80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6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540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8206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0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25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8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898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855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104323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68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204205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53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64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86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07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6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716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01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1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960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77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2469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042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165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08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12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228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1568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65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12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9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272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9178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9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51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49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33673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2853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14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65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5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633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8898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0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74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683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5560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693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35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01035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7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0324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07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345700">
                  <w:marLeft w:val="0"/>
                  <w:marRight w:val="0"/>
                  <w:marTop w:val="15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90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12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31638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700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47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7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8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7738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9720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25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97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91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2512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2700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8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36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90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0991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8749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69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74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963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9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5383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719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200887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6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14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19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761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825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9018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0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74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916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190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1808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89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23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03918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444eed0-5b9a-4710-a8f0-79ffb9c9f22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51D5610C82F44EA103F1C590F05849" ma:contentTypeVersion="16" ma:contentTypeDescription="Create a new document." ma:contentTypeScope="" ma:versionID="a452f9e697e94c548dd39ee98bad5cfd">
  <xsd:schema xmlns:xsd="http://www.w3.org/2001/XMLSchema" xmlns:xs="http://www.w3.org/2001/XMLSchema" xmlns:p="http://schemas.microsoft.com/office/2006/metadata/properties" xmlns:ns3="465dc4f9-fccd-44cc-811c-8cdeecc2be2a" xmlns:ns4="2444eed0-5b9a-4710-a8f0-79ffb9c9f22e" targetNamespace="http://schemas.microsoft.com/office/2006/metadata/properties" ma:root="true" ma:fieldsID="f780790c80d69fbfa845f72b5eaa5dcd" ns3:_="" ns4:_="">
    <xsd:import namespace="465dc4f9-fccd-44cc-811c-8cdeecc2be2a"/>
    <xsd:import namespace="2444eed0-5b9a-4710-a8f0-79ffb9c9f22e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dc4f9-fccd-44cc-811c-8cdeecc2be2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44eed0-5b9a-4710-a8f0-79ffb9c9f2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8B1F13-7767-412A-923F-5DE9F613A4B0}">
  <ds:schemaRefs>
    <ds:schemaRef ds:uri="http://schemas.microsoft.com/office/2006/metadata/properties"/>
    <ds:schemaRef ds:uri="http://schemas.microsoft.com/office/infopath/2007/PartnerControls"/>
    <ds:schemaRef ds:uri="2444eed0-5b9a-4710-a8f0-79ffb9c9f22e"/>
  </ds:schemaRefs>
</ds:datastoreItem>
</file>

<file path=customXml/itemProps2.xml><?xml version="1.0" encoding="utf-8"?>
<ds:datastoreItem xmlns:ds="http://schemas.openxmlformats.org/officeDocument/2006/customXml" ds:itemID="{521FBC10-E2B9-4898-8838-9ABAB3A5BF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12043D-42DD-4EA2-B847-00580D44C5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dc4f9-fccd-44cc-811c-8cdeecc2be2a"/>
    <ds:schemaRef ds:uri="2444eed0-5b9a-4710-a8f0-79ffb9c9f2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553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Grupo TELECOM S.A</Company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E Cucchiara</dc:creator>
  <cp:keywords/>
  <dc:description/>
  <cp:lastModifiedBy>Juan Cruz Mondino</cp:lastModifiedBy>
  <cp:revision>3</cp:revision>
  <dcterms:created xsi:type="dcterms:W3CDTF">2025-09-01T19:02:00Z</dcterms:created>
  <dcterms:modified xsi:type="dcterms:W3CDTF">2025-09-05T16:47:00Z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0x010100EA51D5610C82F44EA103F1C590F05849</vt:lpwstr>
  </property>
</Properties>
</file>