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F1F3D"/>
          <w:sz w:val="44"/>
          <w:szCs w:val="44"/>
        </w:rPr>
        <w:t xml:space="preserve">Monetools 市场侦察记录</w:t>
      </w:r>
    </w:p>
    <w:p>
      <w:pPr>
        <w:spacing w:after="40"/>
      </w:pPr>
      <w:r>
        <w:rPr>
          <w:color w:val="6B7280"/>
          <w:sz w:val="26"/>
          <w:szCs w:val="26"/>
        </w:rPr>
        <w:t xml:space="preserve">新工具/新人群方向调研 · 持续更新</w:t>
      </w:r>
    </w:p>
    <w:p>
      <w:pPr>
        <w:spacing w:after="340"/>
      </w:pPr>
      <w:r>
        <w:rPr>
          <w:color w:val="9CA3AF"/>
          <w:sz w:val="20"/>
          <w:szCs w:val="20"/>
        </w:rPr>
        <w:t xml:space="preserve">2026年7月更新版</w:t>
      </w:r>
    </w:p>
    <w:p>
      <w:pPr>
        <w:spacing w:after="120"/>
      </w:pPr>
      <w:r>
        <w:rPr>
          <w:b/>
          <w:bCs/>
          <w:i/>
          <w:iCs/>
          <w:color w:val="6B7280"/>
        </w:rPr>
        <w:t xml:space="preserve">本文档记录每一轮新方向侦察的结论，无论最终是否推进，都记录下来，避免以后重复调研同一方向。判断标准固定为四条：①真实搜索需求 ②是否已被更有资源的机构占据 ③是否是真实信息差还是已被讲烂 ④目标用户是否与现有流量池重合。</w:t>
      </w:r>
    </w:p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侦察记录一览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0F1F3D" w:val="clear"/>
          </w:tcPr>
          <w:p>
            <w:r>
              <w:rPr>
                <w:b/>
                <w:bCs/>
                <w:color w:val="FFFFFF"/>
              </w:rPr>
              <w:t xml:space="preserve">方向</w:t>
            </w:r>
          </w:p>
        </w:tc>
        <w:tc>
          <w:tcPr>
            <w:tcW w:type="dxa" w:w="1400"/>
            <w:shd w:fill="0F1F3D" w:val="clear"/>
          </w:tcPr>
          <w:p>
            <w:r>
              <w:rPr>
                <w:b/>
                <w:bCs/>
                <w:color w:val="FFFFFF"/>
              </w:rPr>
              <w:t xml:space="preserve">结论</w:t>
            </w:r>
          </w:p>
        </w:tc>
        <w:tc>
          <w:tcPr>
            <w:tcW w:type="dxa" w:w="4400"/>
            <w:shd w:fill="0F1F3D" w:val="clear"/>
          </w:tcPr>
          <w:p>
            <w:r>
              <w:rPr>
                <w:b/>
                <w:bCs/>
                <w:color w:val="FFFFFF"/>
              </w:rPr>
              <w:t xml:space="preserve">理由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Solo 401(k)/退休规划</w:t>
            </w:r>
          </w:p>
        </w:tc>
        <w:tc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✅ 推进</w:t>
            </w:r>
          </w:p>
        </w:tc>
        <w:tc>
          <w:p>
            <w:r>
              <w:rPr>
                <w:sz w:val="17"/>
                <w:szCs w:val="17"/>
              </w:rPr>
              <w:t xml:space="preserve">自雇人群下一步需求，信息差真实存在，已做成工具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多套房产资产保护</w:t>
            </w:r>
          </w:p>
        </w:tc>
        <w:tc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✅ 推进</w:t>
            </w:r>
          </w:p>
        </w:tc>
        <w:tc>
          <w:p>
            <w:r>
              <w:rPr>
                <w:sz w:val="17"/>
                <w:szCs w:val="17"/>
              </w:rPr>
              <w:t xml:space="preserve">Landlord人群进阶版，非独立新人群，已做成工具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HELOC杠杆压力测试</w:t>
            </w:r>
          </w:p>
        </w:tc>
        <w:tc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✅ 推进</w:t>
            </w:r>
          </w:p>
        </w:tc>
        <w:tc>
          <w:p>
            <w:r>
              <w:rPr>
                <w:sz w:val="17"/>
                <w:szCs w:val="17"/>
              </w:rPr>
              <w:t xml:space="preserve">调整为风险测试定位后成立，已做成工具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HSA投资策略人群</w:t>
            </w:r>
          </w:p>
        </w:tc>
        <w:tc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❌ 不做</w:t>
            </w:r>
          </w:p>
        </w:tc>
        <w:tc>
          <w:p>
            <w:r>
              <w:rPr>
                <w:sz w:val="17"/>
                <w:szCs w:val="17"/>
              </w:rPr>
              <w:t xml:space="preserve">竞品已成熟(8-9个同类工具)，真实目标用户比预期窄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退伍军人VA贷款人群</w:t>
            </w:r>
          </w:p>
        </w:tc>
        <w:tc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❌ 不做</w:t>
            </w:r>
          </w:p>
        </w:tc>
        <w:tc>
          <w:p>
            <w:r>
              <w:rPr>
                <w:sz w:val="17"/>
                <w:szCs w:val="17"/>
              </w:rPr>
              <w:t xml:space="preserve">被持牌贷款机构(Veterans United/Navy Federal)自营工具垄断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多州远程工作/数字游民税务</w:t>
            </w:r>
          </w:p>
        </w:tc>
        <w:tc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❌ 不做</w:t>
            </w:r>
          </w:p>
        </w:tc>
        <w:tc>
          <w:p>
            <w:r>
              <w:rPr>
                <w:sz w:val="17"/>
                <w:szCs w:val="17"/>
              </w:rPr>
              <w:t xml:space="preserve">已有专业竞品(CountryTaxCalc)做得很深；用户与现有3人群重合度不够；复杂度超出5步问答形态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自雇者残疾保险决策</w:t>
            </w:r>
          </w:p>
        </w:tc>
        <w:tc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✅ 待开发</w:t>
            </w:r>
          </w:p>
        </w:tc>
        <w:tc>
          <w:p>
            <w:r>
              <w:rPr>
                <w:sz w:val="17"/>
                <w:szCs w:val="17"/>
              </w:rPr>
              <w:t xml:space="preserve">竞品全是保险公司营销页面，无中立决策工具；用户与Self-Employed人群完全重合；信息差真实存在</w:t>
            </w:r>
          </w:p>
        </w:tc>
      </w:tr>
    </w:tbl>
    <w:p>
      <w:pPr>
        <w:pBdr>
          <w:bottom w:val="single" w:color="D4CFC6" w:sz="6"/>
        </w:pBdr>
        <w:spacing w:after="220"/>
      </w:pPr>
    </w:p>
    <w:p>
      <w:pPr>
        <w:pStyle w:val="Heading1"/>
        <w:spacing w:after="160" w:before="340"/>
      </w:pPr>
      <w:r>
        <w:t xml:space="preserve">本轮新增：自雇者残疾保险决策（Disability Insurance Needs Calculator）</w:t>
      </w:r>
    </w:p>
    <w:p>
      <w:pPr>
        <w:pStyle w:val="Heading2"/>
        <w:spacing w:after="120" w:before="260"/>
      </w:pPr>
      <w:r>
        <w:t xml:space="preserve">真实性验证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美国自由职业者超过7,600万人，占总劳动力36%以上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工作生涯中遭遇90天以上致残事件的概率约1/4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W-2雇员通常有雇主提供的免费长期残疾险，自雇者完全没有这层保护</w:t>
      </w:r>
    </w:p>
    <w:p>
      <w:pPr>
        <w:pStyle w:val="Heading2"/>
        <w:spacing w:after="120" w:before="260"/>
      </w:pPr>
      <w:r>
        <w:t xml:space="preserve">竞品格局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搜索结果中的内容全部来自保险公司(Guardian/Northwestern Mutual/Breeze)或保险经纪商(AccuQuote/Firstcard)的营销页面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这些内容的目的是促成保单销售，不是帮用户先算清楚"我需要多少保额、值不值得买"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市面上没有中立的、免费的"残疾保险需求评估"决策工具</w:t>
      </w:r>
    </w:p>
    <w:p>
      <w:pPr>
        <w:pStyle w:val="Heading2"/>
        <w:spacing w:after="120" w:before="260"/>
      </w:pPr>
      <w:r>
        <w:t xml:space="preserve">信息差判断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Own-Occupation vs Any-Occupation定义差异巨大，普通人很难理解其影响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保额经验法则：50-70%收入替代，保费经验法则：年收入的1-3%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SSDI(社保残疾保险)标准严格且金额低(约$1,500/月)，远不足以覆盖收入缺口，很多自雇者误以为SSDI能兜底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等待期(30-365天)与保费的取舍关系，缺乏中立解释</w:t>
      </w:r>
    </w:p>
    <w:p>
      <w:pPr>
        <w:pStyle w:val="Heading2"/>
        <w:spacing w:after="120" w:before="260"/>
      </w:pPr>
      <w:r>
        <w:t xml:space="preserve">用户重合度</w:t>
      </w:r>
    </w:p>
    <w:p>
      <w:pPr>
        <w:spacing w:after="120"/>
      </w:pPr>
      <w:r>
        <w:t xml:space="preserve">完美契合——目标用户就是现有Self-Employed人群（甚至延伸至Side Hustler），是这些用户在使用LLC/S-Corp/Solo 401k工具后自然会产生的下一层需求："收入稳定后，如果我生病了怎么办？"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CFD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064E3B"/>
              </w:rPr>
              <w:t xml:space="preserve">结论：建议推进，是本轮侦察中唯一同时满足四条标准的方向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不做"该买哪家保险公司"的产品(这个我们做不到也不该做)，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而是做"残疾保险需求评估计算器"——帮用户算清楚：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需要多少保额、SSDI能覆盖多少缺口、大概要花多少保费、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以及Own-Occupation定义为什么对他们来说更重要。</w:t>
            </w:r>
          </w:p>
          <w:p>
            <w:pPr>
              <w:spacing w:after="50"/>
            </w:pPr>
            <w:r>
              <w:rPr>
                <w:color w:val="065F46"/>
              </w:rPr>
              <w:t xml:space="preserve">定位是中立的决策框架，不涉及具体保单销售。</w:t>
            </w:r>
          </w:p>
        </w:tc>
      </w:tr>
    </w:tbl>
    <w:p>
      <w:pPr>
        <w:pBdr>
          <w:bottom w:val="single" w:color="D4CFC6" w:sz="6"/>
        </w:pBdr>
        <w:spacing w:after="220"/>
      </w:pPr>
    </w:p>
    <w:p>
      <w:r>
        <w:rPr>
          <w:i/>
          <w:iCs/>
          <w:color w:val="9CA3AF"/>
          <w:sz w:val="18"/>
          <w:szCs w:val="18"/>
        </w:rPr>
        <w:t xml:space="preserve">文档结束 — 每轮新方向侦察结论持续更新进此表，推进的方向标注对应工具上线情况。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2026-07-15T08:56:10.107Z</dcterms:created>
  <dcterms:modified xsi:type="dcterms:W3CDTF">2026-07-15T08:56:10.118Z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