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7" w:name="content"/>
    <w:bookmarkStart w:id="26" w:name="setup-prompt-for-cursorimplementer"/>
    <w:p>
      <w:pPr>
        <w:pStyle w:val="Heading1"/>
      </w:pPr>
      <w:r>
        <w:t xml:space="preserve">Setup Prompt for</w:t>
      </w:r>
      <w:r>
        <w:t xml:space="preserve"> </w:t>
      </w:r>
      <w:r>
        <w:rPr>
          <w:rStyle w:val="VerbatimChar"/>
        </w:rPr>
        <w:t xml:space="preserve">cursor{implementer}</w:t>
      </w:r>
    </w:p>
    <w:p>
      <w:pPr>
        <w:pStyle w:val="FirstParagraph"/>
      </w:pPr>
      <w:r>
        <w:t xml:space="preserve">This prompt guides the implementer through the</w:t>
      </w:r>
      <w:r>
        <w:t xml:space="preserve"> </w:t>
      </w:r>
      <w:r>
        <w:rPr>
          <w:b/>
          <w:bCs/>
        </w:rPr>
        <w:t xml:space="preserve">final verification</w:t>
      </w:r>
      <w:r>
        <w:t xml:space="preserve"> </w:t>
      </w:r>
      <w:r>
        <w:t xml:space="preserve">phase of the Bosscat project and sets the stage for building the</w:t>
      </w:r>
      <w:r>
        <w:t xml:space="preserve"> </w:t>
      </w:r>
      <w:r>
        <w:rPr>
          <w:b/>
          <w:bCs/>
        </w:rPr>
        <w:t xml:space="preserve">diagnostic shell</w:t>
      </w:r>
      <w:r>
        <w:t xml:space="preserve"> </w:t>
      </w:r>
      <w:r>
        <w:t xml:space="preserve">and aligning</w:t>
      </w:r>
      <w:r>
        <w:t xml:space="preserve"> </w:t>
      </w:r>
      <w:r>
        <w:rPr>
          <w:b/>
          <w:bCs/>
        </w:rPr>
        <w:t xml:space="preserve">IONA</w:t>
      </w:r>
      <w:r>
        <w:t xml:space="preserve"> </w:t>
      </w:r>
      <w:r>
        <w:t xml:space="preserve">under the Bosscat gating framework. Please read all sections carefully before proceeding.</w:t>
      </w:r>
    </w:p>
    <w:bookmarkStart w:id="21" w:name="context-and-current-status"/>
    <w:p>
      <w:pPr>
        <w:pStyle w:val="Heading2"/>
      </w:pPr>
      <w:r>
        <w:t xml:space="preserve">Context and Current Status</w:t>
      </w:r>
    </w:p>
    <w:p>
      <w:pPr>
        <w:pStyle w:val="FirstParagraph"/>
      </w:pPr>
      <w:r>
        <w:t xml:space="preserve">We have completed most of the infrastructure work:</w:t>
      </w:r>
    </w:p>
    <w:p>
      <w:pPr>
        <w:pStyle w:val="Compact"/>
        <w:numPr>
          <w:ilvl w:val="0"/>
          <w:numId w:val="1001"/>
        </w:numPr>
      </w:pPr>
      <w:r>
        <w:t xml:space="preserve">The AWS CLI (</w:t>
      </w:r>
      <w:r>
        <w:rPr>
          <w:rStyle w:val="VerbatimChar"/>
        </w:rPr>
        <w:t xml:space="preserve">v2.31.9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uvx</w:t>
      </w:r>
      <w:r>
        <w:t xml:space="preserve"> </w:t>
      </w:r>
      <w:r>
        <w:t xml:space="preserve">(</w:t>
      </w:r>
      <w:r>
        <w:rPr>
          <w:rStyle w:val="VerbatimChar"/>
        </w:rPr>
        <w:t xml:space="preserve">v0.8.24</w:t>
      </w:r>
      <w:r>
        <w:t xml:space="preserve">) are installed on the development environment.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AgentCore MCP</w:t>
      </w:r>
      <w:r>
        <w:t xml:space="preserve"> </w:t>
      </w:r>
      <w:r>
        <w:t xml:space="preserve">server configuration is ready. The file</w:t>
      </w:r>
      <w:r>
        <w:t xml:space="preserve"> </w:t>
      </w:r>
      <w:r>
        <w:rPr>
          <w:rStyle w:val="VerbatimChar"/>
        </w:rPr>
        <w:t xml:space="preserve">.cursor/mcp.json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uvx</w:t>
      </w:r>
      <w:r>
        <w:t xml:space="preserve"> </w:t>
      </w:r>
      <w:r>
        <w:t xml:space="preserve">to start the Bedrock MCP server.</w:t>
      </w:r>
    </w:p>
    <w:p>
      <w:pPr>
        <w:pStyle w:val="Compact"/>
        <w:numPr>
          <w:ilvl w:val="0"/>
          <w:numId w:val="1001"/>
        </w:numPr>
      </w:pPr>
      <w:r>
        <w:t xml:space="preserve">A TypeScript smoke‑test script (</w:t>
      </w:r>
      <w:r>
        <w:rPr>
          <w:rStyle w:val="VerbatimChar"/>
        </w:rPr>
        <w:t xml:space="preserve">scripts/test‑bedrock‑connection.ts</w:t>
      </w:r>
      <w:r>
        <w:t xml:space="preserve">) and a PowerShell wrapper have been prepared. The AWS SDK (</w:t>
      </w:r>
      <w:r>
        <w:rPr>
          <w:rStyle w:val="VerbatimChar"/>
        </w:rPr>
        <w:t xml:space="preserve">@aws-sdk/client-bedrock-runtime</w:t>
      </w:r>
      <w:r>
        <w:t xml:space="preserve"> </w:t>
      </w:r>
      <w:r>
        <w:t xml:space="preserve">^3.901.0) is installed.</w:t>
      </w:r>
    </w:p>
    <w:p>
      <w:pPr>
        <w:pStyle w:val="FirstParagraph"/>
      </w:pPr>
      <w:r>
        <w:t xml:space="preserve">Our next objective is to</w:t>
      </w:r>
      <w:r>
        <w:t xml:space="preserve"> </w:t>
      </w:r>
      <w:r>
        <w:rPr>
          <w:b/>
          <w:bCs/>
        </w:rPr>
        <w:t xml:space="preserve">verify the Bedrock connection</w:t>
      </w:r>
      <w:r>
        <w:t xml:space="preserve"> </w:t>
      </w:r>
      <w:r>
        <w:t xml:space="preserve">and then proceed to build the diagnostic shell and integrate IONA into the Bosscat gating system.</w:t>
      </w:r>
    </w:p>
    <w:bookmarkEnd w:id="21"/>
    <w:bookmarkStart w:id="22" w:name="immediate-tasks-bedrock-verification"/>
    <w:p>
      <w:pPr>
        <w:pStyle w:val="Heading2"/>
      </w:pPr>
      <w:r>
        <w:t xml:space="preserve">Immediate Tasks (Bedrock Verification)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Restart the terminal session and verify the AWS CLI</w:t>
      </w:r>
    </w:p>
    <w:p>
      <w:pPr>
        <w:pStyle w:val="Compact"/>
        <w:numPr>
          <w:ilvl w:val="0"/>
          <w:numId w:val="1002"/>
        </w:numPr>
      </w:pPr>
      <w:r>
        <w:t xml:space="preserve">Close and reopen your PowerShell or terminal window.</w:t>
      </w:r>
    </w:p>
    <w:p>
      <w:pPr>
        <w:numPr>
          <w:ilvl w:val="0"/>
          <w:numId w:val="1002"/>
        </w:numPr>
      </w:pPr>
      <w:r>
        <w:t xml:space="preserve">Run: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aws --version</w:t>
      </w:r>
    </w:p>
    <w:p>
      <w:pPr>
        <w:numPr>
          <w:ilvl w:val="0"/>
          <w:numId w:val="1000"/>
        </w:numPr>
      </w:pPr>
      <w:r>
        <w:t xml:space="preserve">Confirm that it reports</w:t>
      </w:r>
      <w:r>
        <w:t xml:space="preserve"> </w:t>
      </w:r>
      <w:r>
        <w:rPr>
          <w:rStyle w:val="VerbatimChar"/>
        </w:rPr>
        <w:t xml:space="preserve">aws-cli/2.31.9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Configure AWS credentials</w:t>
      </w:r>
    </w:p>
    <w:p>
      <w:pPr>
        <w:pStyle w:val="Compact"/>
        <w:numPr>
          <w:ilvl w:val="0"/>
          <w:numId w:val="1002"/>
        </w:numPr>
      </w:pPr>
      <w:r>
        <w:t xml:space="preserve">Execute</w:t>
      </w:r>
      <w:r>
        <w:t xml:space="preserve"> </w:t>
      </w:r>
      <w:r>
        <w:rPr>
          <w:rStyle w:val="VerbatimChar"/>
        </w:rPr>
        <w:t xml:space="preserve">aws configure</w:t>
      </w:r>
      <w:r>
        <w:t xml:space="preserve"> </w:t>
      </w:r>
      <w:r>
        <w:t xml:space="preserve">and provide your access key ID, secret access key and default region (</w:t>
      </w:r>
      <w:r>
        <w:rPr>
          <w:rStyle w:val="VerbatimChar"/>
        </w:rPr>
        <w:t xml:space="preserve">us‑east‑1</w:t>
      </w:r>
      <w:r>
        <w:t xml:space="preserve"> </w:t>
      </w:r>
      <w:r>
        <w:t xml:space="preserve">by default). Ensure these credentials have</w:t>
      </w:r>
      <w:r>
        <w:t xml:space="preserve"> </w:t>
      </w:r>
      <w:r>
        <w:rPr>
          <w:b/>
          <w:bCs/>
        </w:rPr>
        <w:t xml:space="preserve">InvokeModel</w:t>
      </w:r>
      <w:r>
        <w:t xml:space="preserve"> </w:t>
      </w:r>
      <w:r>
        <w:t xml:space="preserve">permissions for Amazon Bedrock.</w:t>
      </w:r>
    </w:p>
    <w:p>
      <w:pPr>
        <w:numPr>
          <w:ilvl w:val="0"/>
          <w:numId w:val="1002"/>
        </w:numPr>
      </w:pPr>
      <w:r>
        <w:t xml:space="preserve">Verify identity with: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aws sts get-caller-identity</w:t>
      </w:r>
    </w:p>
    <w:p>
      <w:pPr>
        <w:numPr>
          <w:ilvl w:val="0"/>
          <w:numId w:val="1000"/>
        </w:numPr>
      </w:pPr>
      <w:r>
        <w:t xml:space="preserve">If this command fails, revisit your credentials.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Enable model access in Bedrock</w:t>
      </w:r>
    </w:p>
    <w:p>
      <w:pPr>
        <w:pStyle w:val="Compact"/>
        <w:numPr>
          <w:ilvl w:val="0"/>
          <w:numId w:val="1002"/>
        </w:numPr>
      </w:pPr>
      <w:r>
        <w:t xml:space="preserve">Go to the AWS Console →</w:t>
      </w:r>
      <w:r>
        <w:t xml:space="preserve"> </w:t>
      </w:r>
      <w:r>
        <w:rPr>
          <w:b/>
          <w:bCs/>
        </w:rPr>
        <w:t xml:space="preserve">Amazon Bedrock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Model access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Request access to the Claude models (e.g.,</w:t>
      </w:r>
      <w:r>
        <w:t xml:space="preserve"> </w:t>
      </w:r>
      <w:r>
        <w:rPr>
          <w:rStyle w:val="VerbatimChar"/>
        </w:rPr>
        <w:t xml:space="preserve">Claude 3 Haiku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Claude 3 Sonnet</w:t>
      </w:r>
      <w:r>
        <w:t xml:space="preserve">) if not already enabled.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Run the Bedrock connectivity test</w:t>
      </w:r>
    </w:p>
    <w:p>
      <w:pPr>
        <w:pStyle w:val="Compact"/>
        <w:numPr>
          <w:ilvl w:val="0"/>
          <w:numId w:val="1002"/>
        </w:numPr>
      </w:pPr>
      <w:r>
        <w:t xml:space="preserve">In PowerShell (or bash), run the TypeScript test script via: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pnpm dlx tsx scripts/test-bedrock-connection.ts</w:t>
      </w:r>
    </w:p>
    <w:p>
      <w:pPr>
        <w:pStyle w:val="Compact"/>
        <w:numPr>
          <w:ilvl w:val="0"/>
          <w:numId w:val="1002"/>
        </w:numPr>
      </w:pPr>
      <w:r>
        <w:t xml:space="preserve">The script should return a JSON response for the</w:t>
      </w:r>
      <w:r>
        <w:t xml:space="preserve"> </w:t>
      </w:r>
      <w:r>
        <w:rPr>
          <w:rStyle w:val="VerbatimChar"/>
        </w:rPr>
        <w:t xml:space="preserve">InvokeModel</w:t>
      </w:r>
      <w:r>
        <w:t xml:space="preserve"> </w:t>
      </w:r>
      <w:r>
        <w:t xml:space="preserve">test and print streamed tokens for the streaming test. If both tests succeed, Bedrock is verified. It will also generate an</w:t>
      </w:r>
      <w:r>
        <w:t xml:space="preserve"> </w:t>
      </w:r>
      <w:r>
        <w:rPr>
          <w:b/>
          <w:bCs/>
        </w:rPr>
        <w:t xml:space="preserve">ECRR report</w:t>
      </w:r>
      <w:r>
        <w:t xml:space="preserve"> </w:t>
      </w:r>
      <w:r>
        <w:t xml:space="preserve">summarizing the results.</w:t>
      </w:r>
    </w:p>
    <w:bookmarkEnd w:id="22"/>
    <w:bookmarkStart w:id="23" w:name="building-the-diagnostic-shell"/>
    <w:p>
      <w:pPr>
        <w:pStyle w:val="Heading2"/>
      </w:pPr>
      <w:r>
        <w:t xml:space="preserve">Building the Diagnostic Shell</w:t>
      </w:r>
    </w:p>
    <w:p>
      <w:pPr>
        <w:pStyle w:val="FirstParagraph"/>
      </w:pPr>
      <w:r>
        <w:t xml:space="preserve">After Bedrock verification, begin building the</w:t>
      </w:r>
      <w:r>
        <w:t xml:space="preserve"> </w:t>
      </w:r>
      <w:r>
        <w:rPr>
          <w:b/>
          <w:bCs/>
        </w:rPr>
        <w:t xml:space="preserve">diagnostic shell</w:t>
      </w:r>
      <w:r>
        <w:t xml:space="preserve">. This tool will automate log collection, gate‑readiness checks and ECRR report generation. Suggested roadmap: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scripts/diagnostic-shell.ts</w:t>
      </w:r>
    </w:p>
    <w:p>
      <w:pPr>
        <w:pStyle w:val="Compact"/>
        <w:numPr>
          <w:ilvl w:val="0"/>
          <w:numId w:val="1003"/>
        </w:numPr>
      </w:pPr>
      <w:r>
        <w:t xml:space="preserve">Use the structure of</w:t>
      </w:r>
      <w:r>
        <w:t xml:space="preserve"> </w:t>
      </w:r>
      <w:r>
        <w:rPr>
          <w:rStyle w:val="VerbatimChar"/>
        </w:rPr>
        <w:t xml:space="preserve">test-bedrock-connection.ts</w:t>
      </w:r>
      <w:r>
        <w:t xml:space="preserve"> </w:t>
      </w:r>
      <w:r>
        <w:t xml:space="preserve">as a starting point.</w:t>
      </w:r>
    </w:p>
    <w:p>
      <w:pPr>
        <w:pStyle w:val="Compact"/>
        <w:numPr>
          <w:ilvl w:val="0"/>
          <w:numId w:val="1003"/>
        </w:numPr>
      </w:pPr>
      <w:r>
        <w:t xml:space="preserve">Add functions to gather logs (e.g. from OTel spans or local log files) and to perform gate‑readiness checks for each component of IONA.</w:t>
      </w:r>
    </w:p>
    <w:p>
      <w:pPr>
        <w:pStyle w:val="Compact"/>
        <w:numPr>
          <w:ilvl w:val="0"/>
          <w:numId w:val="1003"/>
        </w:numPr>
      </w:pPr>
      <w:r>
        <w:t xml:space="preserve">Output results in the</w:t>
      </w:r>
      <w:r>
        <w:t xml:space="preserve"> </w:t>
      </w:r>
      <w:r>
        <w:rPr>
          <w:b/>
          <w:bCs/>
        </w:rPr>
        <w:t xml:space="preserve">ECRR</w:t>
      </w:r>
      <w:r>
        <w:t xml:space="preserve"> </w:t>
      </w:r>
      <w:r>
        <w:t xml:space="preserve">format:</w:t>
      </w:r>
      <w:r>
        <w:t xml:space="preserve"> </w:t>
      </w:r>
      <w:r>
        <w:rPr>
          <w:i/>
          <w:iCs/>
        </w:rPr>
        <w:t xml:space="preserve">Examine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Clean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Report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Role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Use the existing pipeline scripts</w:t>
      </w:r>
      <w:r>
        <w:t xml:space="preserve"> </w:t>
      </w:r>
      <w:r>
        <w:rPr>
          <w:rStyle w:val="VerbatimChar"/>
        </w:rPr>
        <w:t xml:space="preserve">scripts/roadmap/examine.ts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clean.ts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report.ts</w:t>
      </w:r>
      <w:r>
        <w:t xml:space="preserve"> </w:t>
      </w:r>
      <w:r>
        <w:t xml:space="preserve">if available, as referenced in the observability dashboard.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Integrate OTel instrumentation</w:t>
      </w:r>
    </w:p>
    <w:p>
      <w:pPr>
        <w:pStyle w:val="Compact"/>
        <w:numPr>
          <w:ilvl w:val="0"/>
          <w:numId w:val="1003"/>
        </w:numPr>
      </w:pPr>
      <w:r>
        <w:t xml:space="preserve">Add OpenTelemetry tracing to the Bedrock invocation and other critical pathways.</w:t>
      </w:r>
    </w:p>
    <w:p>
      <w:pPr>
        <w:numPr>
          <w:ilvl w:val="0"/>
          <w:numId w:val="1003"/>
        </w:numPr>
      </w:pPr>
      <w:r>
        <w:t xml:space="preserve">Export spans to your preferred observability backend (e.g. SigNoz on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Update the status dashboard</w:t>
      </w:r>
    </w:p>
    <w:p>
      <w:pPr>
        <w:pStyle w:val="Compact"/>
        <w:numPr>
          <w:ilvl w:val="0"/>
          <w:numId w:val="1003"/>
        </w:numPr>
      </w:pPr>
      <w:r>
        <w:t xml:space="preserve">Use the diagnostic shell’s output to populate</w:t>
      </w:r>
      <w:r>
        <w:t xml:space="preserve"> </w:t>
      </w:r>
      <w:r>
        <w:rPr>
          <w:rStyle w:val="VerbatimChar"/>
        </w:rPr>
        <w:t xml:space="preserve">status.html</w:t>
      </w:r>
      <w:r>
        <w:t xml:space="preserve"> </w:t>
      </w:r>
      <w:r>
        <w:t xml:space="preserve">with KPIs, heatmaps and failing buckets.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r>
        <w:rPr>
          <w:i/>
          <w:iCs/>
        </w:rPr>
        <w:t xml:space="preserve">Local‑first</w:t>
      </w:r>
      <w:r>
        <w:t xml:space="preserve"> </w:t>
      </w:r>
      <w:r>
        <w:t xml:space="preserve">principle: no external network calls except those explicitly required by your configured endpoint.</w:t>
      </w:r>
    </w:p>
    <w:bookmarkEnd w:id="23"/>
    <w:bookmarkStart w:id="24" w:name="aligning-iona-under-bosscat-gating"/>
    <w:p>
      <w:pPr>
        <w:pStyle w:val="Heading2"/>
      </w:pPr>
      <w:r>
        <w:t xml:space="preserve">Aligning IONA Under Bosscat Gating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Map IONA’s components</w:t>
      </w:r>
      <w:r>
        <w:t xml:space="preserve"> </w:t>
      </w:r>
      <w:r>
        <w:t xml:space="preserve">to the Bosscat gating requirements (e.g. observability, testing, and deployment).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Produce ECRR evidence</w:t>
      </w:r>
      <w:r>
        <w:t xml:space="preserve"> </w:t>
      </w:r>
      <w:r>
        <w:t xml:space="preserve">for each component using the diagnostic shell. The</w:t>
      </w:r>
      <w:r>
        <w:t xml:space="preserve"> </w:t>
      </w:r>
      <w:r>
        <w:rPr>
          <w:b/>
          <w:bCs/>
        </w:rPr>
        <w:t xml:space="preserve">Examine</w:t>
      </w:r>
      <w:r>
        <w:t xml:space="preserve"> </w:t>
      </w:r>
      <w:r>
        <w:t xml:space="preserve">phase should collect metrics and logs; the</w:t>
      </w:r>
      <w:r>
        <w:t xml:space="preserve"> </w:t>
      </w:r>
      <w:r>
        <w:rPr>
          <w:b/>
          <w:bCs/>
        </w:rPr>
        <w:t xml:space="preserve">Clean</w:t>
      </w:r>
      <w:r>
        <w:t xml:space="preserve"> </w:t>
      </w:r>
      <w:r>
        <w:t xml:space="preserve">phase should address any issues; the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phase should summarise evidence; and the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phase should outline next actions.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 documentation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GATE_PROTOCOL_ALIGNMENT_REPORT.md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gate_readiness_test_report.md</w:t>
      </w:r>
      <w:r>
        <w:t xml:space="preserve"> </w:t>
      </w:r>
      <w:r>
        <w:t xml:space="preserve">with IONA-specific findings.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Prepare the final gate request</w:t>
      </w:r>
      <w:r>
        <w:t xml:space="preserve"> </w:t>
      </w:r>
      <w:r>
        <w:t xml:space="preserve">by completing the</w:t>
      </w:r>
      <w:r>
        <w:t xml:space="preserve"> </w:t>
      </w:r>
      <w:r>
        <w:rPr>
          <w:rStyle w:val="VerbatimChar"/>
        </w:rPr>
        <w:t xml:space="preserve">FINAL_COMMIT_MESSAGE.md</w:t>
      </w:r>
      <w:r>
        <w:t xml:space="preserve"> </w:t>
      </w:r>
      <w:r>
        <w:t xml:space="preserve">and using the template in</w:t>
      </w:r>
      <w:r>
        <w:t xml:space="preserve"> </w:t>
      </w:r>
      <w:r>
        <w:rPr>
          <w:rStyle w:val="VerbatimChar"/>
        </w:rPr>
        <w:t xml:space="preserve">FINAL_COPY_PASTE_COMMANDS.md</w:t>
      </w:r>
      <w:r>
        <w:t xml:space="preserve">.</w:t>
      </w:r>
    </w:p>
    <w:bookmarkEnd w:id="24"/>
    <w:bookmarkStart w:id="25" w:name="important-guidelines"/>
    <w:p>
      <w:pPr>
        <w:pStyle w:val="Heading2"/>
      </w:pPr>
      <w:r>
        <w:t xml:space="preserve">Important Guidelines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Keep credentials secure</w:t>
      </w:r>
      <w:r>
        <w:t xml:space="preserve">: store secrets in your environment or CI pipeline, not in code or docs.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Adhere to the Immutable Persona</w:t>
      </w:r>
      <w:r>
        <w:t xml:space="preserve">: maintain the narrative voice and decision flow defined in the</w:t>
      </w:r>
      <w:r>
        <w:t xml:space="preserve"> </w:t>
      </w:r>
      <w:r>
        <w:rPr>
          <w:rStyle w:val="VerbatimChar"/>
        </w:rPr>
        <w:t xml:space="preserve">IMMUTABLE_PERSONA_v1.1.md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ECRR consistently</w:t>
      </w:r>
      <w:r>
        <w:t xml:space="preserve">: structure all diagnostic reports according to the</w:t>
      </w:r>
      <w:r>
        <w:t xml:space="preserve"> </w:t>
      </w:r>
      <w:r>
        <w:rPr>
          <w:i/>
          <w:iCs/>
        </w:rPr>
        <w:t xml:space="preserve">Examine, Clean, Report, Role</w:t>
      </w:r>
      <w:r>
        <w:t xml:space="preserve"> </w:t>
      </w:r>
      <w:r>
        <w:t xml:space="preserve">framework.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Avoid long tables</w:t>
      </w:r>
      <w:r>
        <w:t xml:space="preserve">: only use tables for short lists or numeric data; keep prose in paragraphs.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Stay local-first</w:t>
      </w:r>
      <w:r>
        <w:t xml:space="preserve">: when interacting with scripts and dashboards, avoid external network calls unless explicitly required.</w:t>
      </w:r>
    </w:p>
    <w:p>
      <w:pPr>
        <w:pStyle w:val="FirstParagraph"/>
      </w:pPr>
      <w:r>
        <w:t xml:space="preserve">Once you have completed the Bedrock verification and diagnostic shell implementation, the remaining tasks will focus on aligning IONA’s pipelines and finalising gate readiness. Good luck!</w:t>
      </w:r>
    </w:p>
    <w:bookmarkEnd w:id="25"/>
    <w:bookmarkEnd w:id="26"/>
    <w:bookmarkEnd w:id="27"/>
    <w:p>
      <w:r>
        <w:pict>
          <v:rect style="width:0;height:1.5pt" o:hralign="center" o:hrstd="t" o:hr="t"/>
        </w:pict>
      </w:r>
    </w:p>
    <w:bookmarkStart w:id="28" w:name="citations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2025-10-07T14:14:58Z</dcterms:created>
  <dcterms:modified xsi:type="dcterms:W3CDTF">2025-10-07T14:14:58Z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