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  <w:sz w:val="40"/>
        </w:rPr>
        <w:t>英業達股份有限公司</w:t>
      </w:r>
    </w:p>
    <w:p>
      <w:pPr>
        <w:pStyle w:val="Heading1"/>
      </w:pPr>
      <w:r>
        <w:t>供應鏈風險分析報告</w:t>
      </w:r>
    </w:p>
    <w:p>
      <w:pPr>
        <w:pStyle w:val="Heading2"/>
      </w:pPr>
      <w:r>
        <w:t>ProServer X200 專案 — GPU Module 供應風險評估</w:t>
      </w:r>
    </w:p>
    <w:p>
      <w:r>
        <w:rPr>
          <w:b/>
        </w:rPr>
        <w:t>文件編號：</w:t>
      </w:r>
      <w:r>
        <w:t>SCM-2025-RA-003</w:t>
      </w:r>
    </w:p>
    <w:p>
      <w:r>
        <w:rPr>
          <w:b/>
        </w:rPr>
        <w:t>版本：</w:t>
      </w:r>
      <w:r>
        <w:t>1.0</w:t>
      </w:r>
    </w:p>
    <w:p>
      <w:r>
        <w:rPr>
          <w:b/>
        </w:rPr>
        <w:t>日期：</w:t>
      </w:r>
      <w:r>
        <w:t>2025/4/18</w:t>
      </w:r>
    </w:p>
    <w:p>
      <w:r>
        <w:rPr>
          <w:b/>
        </w:rPr>
        <w:t>撰寫單位：</w:t>
      </w:r>
      <w:r>
        <w:t>供應鏈管理部</w:t>
      </w:r>
    </w:p>
    <w:p>
      <w:r>
        <w:rPr>
          <w:b/>
        </w:rPr>
        <w:t>撰寫人：</w:t>
      </w:r>
      <w:r>
        <w:t>Lisa Wang, Senior SCM Manager</w:t>
      </w:r>
    </w:p>
    <w:p>
      <w:r>
        <w:rPr>
          <w:b/>
        </w:rPr>
        <w:t>核准人：</w:t>
      </w:r>
      <w:r>
        <w:t>__________ (供應鏈副總)</w:t>
      </w:r>
    </w:p>
    <w:p>
      <w:r>
        <w:rPr>
          <w:b/>
        </w:rPr>
        <w:t>機密等級：</w:t>
      </w:r>
      <w:r>
        <w:t>內部機密 — Confidential</w:t>
      </w:r>
    </w:p>
    <w:p/>
    <w:p>
      <w:pPr>
        <w:pStyle w:val="Heading1"/>
      </w:pPr>
      <w:r>
        <w:t>目錄</w:t>
      </w:r>
    </w:p>
    <w:p>
      <w:pPr>
        <w:spacing w:after="40"/>
      </w:pPr>
      <w:r>
        <w:t>1. 執行摘要</w:t>
      </w:r>
    </w:p>
    <w:p>
      <w:pPr>
        <w:spacing w:after="40"/>
      </w:pPr>
      <w:r>
        <w:t>2. 專案背景</w:t>
      </w:r>
    </w:p>
    <w:p>
      <w:pPr>
        <w:spacing w:after="40"/>
      </w:pPr>
      <w:r>
        <w:t>3. 風險識別與評估</w:t>
      </w:r>
    </w:p>
    <w:p>
      <w:pPr>
        <w:spacing w:after="40"/>
      </w:pPr>
      <w:r>
        <w:t xml:space="preserve">   3.1 地緣政治風險</w:t>
      </w:r>
    </w:p>
    <w:p>
      <w:pPr>
        <w:spacing w:after="40"/>
      </w:pPr>
      <w:r>
        <w:t xml:space="preserve">   3.2 單一供應商依賴風險</w:t>
      </w:r>
    </w:p>
    <w:p>
      <w:pPr>
        <w:spacing w:after="40"/>
      </w:pPr>
      <w:r>
        <w:t xml:space="preserve">   3.3 價格波動風險</w:t>
      </w:r>
    </w:p>
    <w:p>
      <w:pPr>
        <w:spacing w:after="40"/>
      </w:pPr>
      <w:r>
        <w:t xml:space="preserve">   3.4 產能瓶頸風險</w:t>
      </w:r>
    </w:p>
    <w:p>
      <w:pPr>
        <w:spacing w:after="40"/>
      </w:pPr>
      <w:r>
        <w:t>4. 替代方案分析</w:t>
      </w:r>
    </w:p>
    <w:p>
      <w:pPr>
        <w:spacing w:after="40"/>
      </w:pPr>
      <w:r>
        <w:t>5. 成本影響評估</w:t>
      </w:r>
    </w:p>
    <w:p>
      <w:pPr>
        <w:spacing w:after="40"/>
      </w:pPr>
      <w:r>
        <w:t>6. 建議與行動計畫</w:t>
      </w:r>
    </w:p>
    <w:p>
      <w:pPr>
        <w:spacing w:after="40"/>
      </w:pPr>
      <w:r>
        <w:t>7. 附件</w:t>
      </w:r>
    </w:p>
    <w:p>
      <w:r>
        <w:br w:type="page"/>
      </w:r>
    </w:p>
    <w:p>
      <w:pPr>
        <w:pStyle w:val="Heading1"/>
      </w:pPr>
      <w:r>
        <w:t>1. 執行摘要</w:t>
      </w:r>
    </w:p>
    <w:p>
      <w:r>
        <w:rPr>
          <w:b/>
          <w:color w:val="C00000"/>
        </w:rPr>
        <w:t>[此章節請使用 Copilot 草擬]</w:t>
      </w:r>
    </w:p>
    <w:p/>
    <w:p>
      <w:r>
        <w:rPr>
          <w:b/>
          <w:color w:val="0070C0"/>
        </w:rPr>
        <w:t>💡 Copilot 提示範例：</w:t>
      </w:r>
    </w:p>
    <w:p>
      <w:r>
        <w:t>「根據本報告的第 2-6 章內容，撰寫一段約 200 字的執行摘要。重點涵蓋：主要風險、建議的供應商策略、預估成本影響。語氣專業，適合高階管理層閱讀。」</w:t>
      </w:r>
    </w:p>
    <w:p>
      <w:pPr>
        <w:pStyle w:val="Heading1"/>
      </w:pPr>
      <w:r>
        <w:t>2. 專案背景</w:t>
      </w:r>
    </w:p>
    <w:p>
      <w:r>
        <w:t>英業達 (Inventec Corporation) 為全球前五大伺服器 ODM (Original Design Manufacturer) 廠商，年營收超過新台幣 4,000 億元。公司主要產品包含伺服器、筆記型電腦及 IoT 裝置，客戶涵蓋 HP Enterprise、Dell Technologies、Lenovo 等全球知名品牌。</w:t>
        <w:br/>
        <w:br/>
        <w:t>ProServer X200 為英業達因應 HP Enterprise AI 推論伺服器需求所開發的新一代產品。該產品搭載高效能 GPU 加速卡，為 BOM 中單一最高成本零組件（CPU 除外），佔 BOM 比例約 14.8%，年度採購金額預估超過 USD 68M。</w:t>
        <w:br/>
        <w:br/>
        <w:t>目前 GPU Module 主要供應商為韓國 NovaTech Co., Ltd.，為 100% 單一來源供應。鑑於近期全球地緣政治局勢變化及供應鏈不確定性，本報告旨在全面評估 GPU Module 的供應風險，並提出風險緩解建議。</w:t>
      </w:r>
    </w:p>
    <w:p>
      <w:pPr>
        <w:pStyle w:val="Heading1"/>
      </w:pPr>
      <w:r>
        <w:t>3. 風險識別與評估</w:t>
      </w:r>
    </w:p>
    <w:p>
      <w:pPr>
        <w:pStyle w:val="Heading2"/>
      </w:pPr>
      <w:r>
        <w:t>3.1 地緣政治風險</w:t>
      </w:r>
    </w:p>
    <w:p>
      <w:r>
        <w:t>風險等級：🟡 中高</w:t>
        <w:br/>
        <w:br/>
        <w:t>主要風險因素：</w:t>
        <w:br/>
        <w:t>• 美中科技制裁持續擴大：中國供應商 ChipMax 生產的 GPU Module 使用部分美國技術授權的製程，面臨出口管制風險。若未來制裁範圍擴大，ChipMax 可能無法繼續供貨。</w:t>
        <w:br/>
        <w:t>• 美韓 CHIPS 法案影響：NovaTech 位於韓國，受美韓半導體合作框架約束。部分產能需優先供應美國客戶，可能壓縮對亞洲 ODM 客戶的供應量。</w:t>
        <w:br/>
        <w:t>• 關稅風險：中國進口零件面臨 25% 額外關稅，直接影響 ChipMax 方案的成本競爭力。</w:t>
      </w:r>
    </w:p>
    <w:p>
      <w:r>
        <w:rPr>
          <w:b/>
          <w:color w:val="C00000"/>
        </w:rPr>
        <w:t>[請使用 Researcher Agent 搜尋補充最新地緣政治情勢分析]</w:t>
      </w:r>
    </w:p>
    <w:p/>
    <w:p>
      <w:r>
        <w:rPr>
          <w:b/>
          <w:color w:val="0070C0"/>
        </w:rPr>
        <w:t>💡 Researcher Agent 提示：</w:t>
      </w:r>
    </w:p>
    <w:p>
      <w:r>
        <w:t>「搜尋 2025 年最新的美中半導體出口管制政策更新，以及對 GPU 模組供應鏈的影響分析。」</w:t>
      </w:r>
    </w:p>
    <w:p>
      <w:pPr>
        <w:pStyle w:val="Heading2"/>
      </w:pPr>
      <w:r>
        <w:t>3.2 單一供應商依賴風險</w:t>
      </w:r>
    </w:p>
    <w:p>
      <w:r>
        <w:t>風險等級：🔴 嚴重</w:t>
        <w:br/>
        <w:br/>
        <w:t>目前 GPU Module 100% 依賴 NovaTech 供應，存在以下風險：</w:t>
        <w:br/>
        <w:t>• NovaTech Q3/Q4 2025 產能利用率已達 85%，交期從標準 8 週延長至 10 週</w:t>
        <w:br/>
        <w:t>• 若 NovaTech 發生天災、罷工、設備故障等不可抗力事件，將直接中斷 ProServer X200 的生產</w:t>
        <w:br/>
        <w:t>• NovaTech 同時供貨給 Dell、Lenovo 等競爭客戶，產能分配可能不利於英業達</w:t>
        <w:br/>
        <w:t>• 單一供應商在議價能力上對英業達不利，過去一年已漲價 3-5%</w:t>
      </w:r>
    </w:p>
    <w:p>
      <w:pPr>
        <w:pStyle w:val="Heading2"/>
      </w:pPr>
      <w:r>
        <w:t>3.3 價格波動風險</w:t>
      </w:r>
    </w:p>
    <w:p>
      <w:r>
        <w:t>風險等級：🟡 中等</w:t>
        <w:br/>
        <w:br/>
        <w:t>• GPU Module 過去 12 個月漲價約 12%，主要受晶圓代工成本上升及 AI 需求激增推動</w:t>
        <w:br/>
        <w:t>• DRAM 現貨市場價格波動 ±15%，影響 BOM 成本穩定性</w:t>
        <w:br/>
        <w:t>• 美元對韓元/日幣匯率波動可能影響 NovaTech 和 SiliconEdge 的報價</w:t>
      </w:r>
    </w:p>
    <w:p>
      <w:pPr>
        <w:pStyle w:val="Heading2"/>
      </w:pPr>
      <w:r>
        <w:t>3.4 產能瓶頸風險</w:t>
      </w:r>
    </w:p>
    <w:p>
      <w:r>
        <w:t>風險等級：🟡 中高</w:t>
        <w:br/>
        <w:br/>
        <w:t>• 全球 AI 伺服器需求爆發，GPU Module 供不應求</w:t>
        <w:br/>
        <w:t>• NovaTech Q3 產能預訂率 85%，Q4 預估將達 90%</w:t>
        <w:br/>
        <w:t>• SiliconEdge 備用產能僅 10%，大量接單能力受限</w:t>
        <w:br/>
        <w:t>• ChipMax 雖有 30% 備用產能，但品質和地緣政治風險限制其可用性</w:t>
      </w:r>
    </w:p>
    <w:p>
      <w:pPr>
        <w:pStyle w:val="Heading1"/>
      </w:pPr>
      <w:r>
        <w:t>4. 替代方案分析</w:t>
      </w:r>
    </w:p>
    <w:p>
      <w:r>
        <w:rPr>
          <w:b/>
          <w:color w:val="C00000"/>
        </w:rPr>
        <w:t>[此章節請使用 Copilot 引用 英業達_供應商評估表.xlsx 和 英業達_BOM成本分析.xlsx 的數據來生成分析]</w:t>
      </w:r>
    </w:p>
    <w:p/>
    <w:p>
      <w:r>
        <w:rPr>
          <w:b/>
          <w:color w:val="0070C0"/>
        </w:rPr>
        <w:t>💡 Copilot 提示範例：</w:t>
      </w:r>
    </w:p>
    <w:p>
      <w:r>
        <w:t>「參考 /英業達_供應商評估表.xlsx 和 /英業達_BOM成本分析.xlsx，針對三家 GPU 供應商（NovaTech、ChipMax、SiliconEdge）進行比較分析。從價格、品質、交期、風險四個維度展開，並給出推薦排序。」</w:t>
      </w:r>
    </w:p>
    <w:p>
      <w:r>
        <w:t>初步方案概述：</w:t>
        <w:br/>
        <w:br/>
        <w:t>方案一（維持現狀）：100% NovaTech</w:t>
        <w:br/>
        <w:t>方案二（切換）：100% SiliconEdge</w:t>
        <w:br/>
        <w:t>方案三（切換）：100% ChipMax</w:t>
        <w:br/>
        <w:t>方案四（分散風險 — 推薦）：NovaTech 60% + SiliconEdge 40%</w:t>
        <w:br/>
        <w:br/>
        <w:t>各方案詳細比較請參見 英業達_BOM成本分析.xlsx「GPU替代方案成本比較」工作表。</w:t>
      </w:r>
    </w:p>
    <w:p>
      <w:pPr>
        <w:pStyle w:val="Heading1"/>
      </w:pPr>
      <w:r>
        <w:t>5. 成本影響評估</w:t>
      </w:r>
    </w:p>
    <w:p>
      <w:r>
        <w:rPr>
          <w:b/>
          <w:color w:val="C00000"/>
        </w:rPr>
        <w:t>[此章節請使用 Copilot + Analyst Agent 根據 Excel 數據生成定量分析]</w:t>
      </w:r>
    </w:p>
    <w:p/>
    <w:p>
      <w:r>
        <w:rPr>
          <w:b/>
          <w:color w:val="0070C0"/>
        </w:rPr>
        <w:t>💡 Analyst Agent 提示範例：</w:t>
      </w:r>
    </w:p>
    <w:p>
      <w:r>
        <w:t>「分析 BOM成本分析.xlsx 中四個替代方案的年度成本差異，考慮單價差異、換線成本、驗證成本、品質風險成本（預估不良率×處理成本）。計算 12 個月的 TCO (Total Cost of Ownership) 並產出比較圖表。」</w:t>
      </w:r>
    </w:p>
    <w:p>
      <w:pPr>
        <w:pStyle w:val="Heading1"/>
      </w:pPr>
      <w:r>
        <w:t>6. 建議與行動計畫</w:t>
      </w:r>
    </w:p>
    <w:p>
      <w:r>
        <w:rPr>
          <w:b/>
          <w:color w:val="C00000"/>
        </w:rPr>
        <w:t>[此章節請使用 Copilot 草擬]</w:t>
      </w:r>
    </w:p>
    <w:p/>
    <w:p>
      <w:r>
        <w:rPr>
          <w:b/>
          <w:color w:val="0070C0"/>
        </w:rPr>
        <w:t>💡 Copilot 提示範例：</w:t>
      </w:r>
    </w:p>
    <w:p>
      <w:r>
        <w:t>「基於本報告的風險評估和替代方案分析，撰寫建議與行動計畫章節。建議採用雙供應商策略（NovaTech + SiliconEdge），列出具體行動項目、負責人、時程，以及需要管理層核可的事項。格式使用編號清單，語氣果斷專業。」</w:t>
      </w:r>
    </w:p>
    <w:p>
      <w:r>
        <w:t>初步建議方向：</w:t>
        <w:br/>
        <w:br/>
        <w:t>建議採用「方案四：雙供應商策略」(NovaTech 60% + SiliconEdge 40%)</w:t>
        <w:br/>
        <w:br/>
        <w:t>理由：</w:t>
        <w:br/>
        <w:t>1. 分散地緣政治及單一供應商風險</w:t>
        <w:br/>
        <w:t>2. 雖然年化成本略增，但供應穩定性大幅提升</w:t>
        <w:br/>
        <w:t>3. 增加議價籌碼</w:t>
        <w:br/>
        <w:t>4. SiliconEdge 品質最優（PPM 80），可拉高整體品質水準</w:t>
      </w:r>
    </w:p>
    <w:p>
      <w:pPr>
        <w:pStyle w:val="Heading1"/>
      </w:pPr>
      <w:r>
        <w:t>7. 附件</w:t>
      </w:r>
    </w:p>
    <w:p>
      <w:r>
        <w:t>附件清單：</w:t>
        <w:br/>
        <w:t>1. 英業達_供應商評估表.xlsx — 三家供應商完整評估數據</w:t>
        <w:br/>
        <w:t>2. 英業達_BOM成本分析.xlsx — ProServer X200 BOM 明細及替代方案成本比較</w:t>
        <w:br/>
        <w:t>3. NovaTech ISO 9001 / ISO 14001 認證書（影本）</w:t>
        <w:br/>
        <w:t>4. SiliconEdge ISO 9001 / IATF 16949 認證書（影本）</w:t>
        <w:br/>
        <w:t>5. 供應商財務評級報告（Dun &amp; Bradstreet）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